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83B" w:rsidRDefault="0040783B" w:rsidP="00E36270">
      <w:pPr>
        <w:spacing w:after="56"/>
        <w:ind w:right="-1"/>
      </w:pPr>
      <w:bookmarkStart w:id="0" w:name="_GoBack"/>
      <w:bookmarkEnd w:id="0"/>
      <w:r>
        <w:rPr>
          <w:noProof/>
        </w:rPr>
        <w:drawing>
          <wp:inline distT="0" distB="0" distL="0" distR="0" wp14:anchorId="3274A88B" wp14:editId="4072A39A">
            <wp:extent cx="6692405" cy="1191412"/>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6692405" cy="1191412"/>
                    </a:xfrm>
                    <a:prstGeom prst="rect">
                      <a:avLst/>
                    </a:prstGeom>
                  </pic:spPr>
                </pic:pic>
              </a:graphicData>
            </a:graphic>
          </wp:inline>
        </w:drawing>
      </w:r>
    </w:p>
    <w:p w:rsidR="0040783B" w:rsidRPr="0040783B" w:rsidRDefault="0040783B" w:rsidP="00E36270">
      <w:pPr>
        <w:spacing w:after="0" w:line="265" w:lineRule="auto"/>
        <w:ind w:left="-5"/>
      </w:pPr>
      <w:r w:rsidRPr="0040783B">
        <w:t xml:space="preserve">Изданный по </w:t>
      </w:r>
      <w:r w:rsidRPr="0040783B">
        <w:rPr>
          <w:rFonts w:ascii="Calibri" w:eastAsia="Calibri" w:hAnsi="Calibri" w:cs="Calibri"/>
          <w:i/>
        </w:rPr>
        <w:t>рекомендациям для тестирования, управления и лечения гепатита С</w:t>
      </w:r>
    </w:p>
    <w:p w:rsidR="0040783B" w:rsidRPr="0040783B" w:rsidRDefault="0040783B" w:rsidP="00E36270">
      <w:pPr>
        <w:spacing w:after="439" w:line="265" w:lineRule="auto"/>
        <w:ind w:left="-5"/>
      </w:pPr>
      <w:r w:rsidRPr="0040783B">
        <w:t>(</w:t>
      </w:r>
      <w:hyperlink r:id="rId6">
        <w:r w:rsidRPr="00D32325">
          <w:rPr>
            <w:color w:val="0000FF"/>
            <w:u w:val="single" w:color="0000FF"/>
            <w:lang w:val="en-US"/>
          </w:rPr>
          <w:t>http</w:t>
        </w:r>
        <w:r w:rsidRPr="0040783B">
          <w:rPr>
            <w:color w:val="0000FF"/>
            <w:u w:val="single" w:color="0000FF"/>
          </w:rPr>
          <w:t>://</w:t>
        </w:r>
        <w:r w:rsidRPr="00D32325">
          <w:rPr>
            <w:color w:val="0000FF"/>
            <w:u w:val="single" w:color="0000FF"/>
            <w:lang w:val="en-US"/>
          </w:rPr>
          <w:t>www</w:t>
        </w:r>
        <w:r w:rsidRPr="0040783B">
          <w:rPr>
            <w:color w:val="0000FF"/>
            <w:u w:val="single" w:color="0000FF"/>
          </w:rPr>
          <w:t>.</w:t>
        </w:r>
        <w:r w:rsidRPr="00D32325">
          <w:rPr>
            <w:color w:val="0000FF"/>
            <w:u w:val="single" w:color="0000FF"/>
            <w:lang w:val="en-US"/>
          </w:rPr>
          <w:t>hcvguidelines</w:t>
        </w:r>
        <w:r w:rsidRPr="0040783B">
          <w:rPr>
            <w:color w:val="0000FF"/>
            <w:u w:val="single" w:color="0000FF"/>
          </w:rPr>
          <w:t>.</w:t>
        </w:r>
        <w:r w:rsidRPr="00D32325">
          <w:rPr>
            <w:color w:val="0000FF"/>
            <w:u w:val="single" w:color="0000FF"/>
            <w:lang w:val="en-US"/>
          </w:rPr>
          <w:t>org</w:t>
        </w:r>
      </w:hyperlink>
      <w:r w:rsidRPr="0040783B">
        <w:t>)</w:t>
      </w:r>
    </w:p>
    <w:p w:rsidR="0040783B" w:rsidRPr="0040783B" w:rsidRDefault="0040783B" w:rsidP="00E36270">
      <w:pPr>
        <w:spacing w:after="0"/>
      </w:pPr>
      <w:hyperlink r:id="rId7">
        <w:r w:rsidRPr="0040783B">
          <w:rPr>
            <w:color w:val="0000FF"/>
            <w:sz w:val="17"/>
            <w:u w:val="single" w:color="0000FF"/>
          </w:rPr>
          <w:t>Дом</w:t>
        </w:r>
      </w:hyperlink>
      <w:r w:rsidRPr="0040783B">
        <w:rPr>
          <w:sz w:val="17"/>
        </w:rPr>
        <w:t xml:space="preserve">&gt; Начальное Лечение Инфекции </w:t>
      </w:r>
      <w:r w:rsidRPr="00D32325">
        <w:rPr>
          <w:sz w:val="17"/>
          <w:lang w:val="en-US"/>
        </w:rPr>
        <w:t>HCV</w:t>
      </w:r>
    </w:p>
    <w:p w:rsidR="0040783B" w:rsidRDefault="0040783B" w:rsidP="00E36270">
      <w:pPr>
        <w:spacing w:after="522"/>
        <w:ind w:right="-1"/>
      </w:pPr>
      <w:r>
        <w:rPr>
          <w:noProof/>
        </w:rPr>
        <mc:AlternateContent>
          <mc:Choice Requires="wpg">
            <w:drawing>
              <wp:inline distT="0" distB="0" distL="0" distR="0" wp14:anchorId="08FB3340" wp14:editId="27E9CBBC">
                <wp:extent cx="6692392" cy="9525"/>
                <wp:effectExtent l="0" t="0" r="0" b="0"/>
                <wp:docPr id="24874" name="Group 24874"/>
                <wp:cNvGraphicFramePr/>
                <a:graphic xmlns:a="http://schemas.openxmlformats.org/drawingml/2006/main">
                  <a:graphicData uri="http://schemas.microsoft.com/office/word/2010/wordprocessingGroup">
                    <wpg:wgp>
                      <wpg:cNvGrpSpPr/>
                      <wpg:grpSpPr>
                        <a:xfrm>
                          <a:off x="0" y="0"/>
                          <a:ext cx="6692392" cy="9525"/>
                          <a:chOff x="0" y="0"/>
                          <a:chExt cx="6692392" cy="9525"/>
                        </a:xfrm>
                      </wpg:grpSpPr>
                      <wps:wsp>
                        <wps:cNvPr id="18" name="Shape 18"/>
                        <wps:cNvSpPr/>
                        <wps:spPr>
                          <a:xfrm>
                            <a:off x="0" y="0"/>
                            <a:ext cx="6692392" cy="0"/>
                          </a:xfrm>
                          <a:custGeom>
                            <a:avLst/>
                            <a:gdLst/>
                            <a:ahLst/>
                            <a:cxnLst/>
                            <a:rect l="0" t="0" r="0" b="0"/>
                            <a:pathLst>
                              <a:path w="6692392">
                                <a:moveTo>
                                  <a:pt x="0" y="0"/>
                                </a:moveTo>
                                <a:lnTo>
                                  <a:pt x="6692392" y="0"/>
                                </a:lnTo>
                              </a:path>
                            </a:pathLst>
                          </a:custGeom>
                          <a:ln w="9525" cap="sq">
                            <a:miter lim="127000"/>
                          </a:ln>
                        </wps:spPr>
                        <wps:style>
                          <a:lnRef idx="1">
                            <a:srgbClr val="9E9E9E"/>
                          </a:lnRef>
                          <a:fillRef idx="0">
                            <a:srgbClr val="000000">
                              <a:alpha val="0"/>
                            </a:srgbClr>
                          </a:fillRef>
                          <a:effectRef idx="0">
                            <a:scrgbClr r="0" g="0" b="0"/>
                          </a:effectRef>
                          <a:fontRef idx="none"/>
                        </wps:style>
                        <wps:bodyPr/>
                      </wps:wsp>
                    </wpg:wgp>
                  </a:graphicData>
                </a:graphic>
              </wp:inline>
            </w:drawing>
          </mc:Choice>
          <mc:Fallback>
            <w:pict>
              <v:group w14:anchorId="0E796200" id="Group 24874" o:spid="_x0000_s1026" style="width:526.95pt;height:.75pt;mso-position-horizontal-relative:char;mso-position-vertical-relative:line" coordsize="669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">
                <v:shape id="Shape 18" o:spid="_x0000_s1027" style="position:absolute;width:66923;height:0;visibility:visible;mso-wrap-style:square;v-text-anchor:top" coordsize="6692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" path="m,l6692392,e" filled="f" strokecolor="#9e9e9e">
                  <v:stroke miterlimit="83231f" joinstyle="miter" endcap="square"/>
                  <v:path arrowok="t" textboxrect="0,0,6692392,0"/>
                </v:shape>
                <w10:anchorlock/>
              </v:group>
            </w:pict>
          </mc:Fallback>
        </mc:AlternateContent>
      </w:r>
    </w:p>
    <w:p w:rsidR="0040783B" w:rsidRPr="0040783B" w:rsidRDefault="0040783B" w:rsidP="00E36270">
      <w:pPr>
        <w:pStyle w:val="1"/>
      </w:pPr>
      <w:r w:rsidRPr="0040783B">
        <w:t xml:space="preserve">НАЧАЛЬНОЕ ЛЕЧЕНИЕ ИНФЕКЦИИ </w:t>
      </w:r>
      <w:r w:rsidRPr="00D32325">
        <w:rPr>
          <w:lang w:val="en-US"/>
        </w:rPr>
        <w:t>HCV</w:t>
      </w:r>
    </w:p>
    <w:p w:rsidR="0040783B" w:rsidRPr="0040783B" w:rsidRDefault="0040783B" w:rsidP="00E36270">
      <w:pPr>
        <w:ind w:left="-5" w:right="15"/>
      </w:pPr>
      <w:r w:rsidRPr="0040783B">
        <w:t xml:space="preserve">Начальное Лечение Инфекции </w:t>
      </w:r>
      <w:r w:rsidRPr="00D32325">
        <w:rPr>
          <w:lang w:val="en-US"/>
        </w:rPr>
        <w:t>HCV</w:t>
      </w:r>
      <w:r w:rsidRPr="0040783B">
        <w:t xml:space="preserve"> включает пациентов с хроническим гепатитом С, с которыми ранее не отнеслись </w:t>
      </w:r>
      <w:r w:rsidRPr="00D32325">
        <w:rPr>
          <w:lang w:val="en-US"/>
        </w:rPr>
        <w:t>IFN</w:t>
      </w:r>
      <w:r w:rsidRPr="0040783B">
        <w:t>, ШТИФТ-</w:t>
      </w:r>
      <w:r w:rsidRPr="00D32325">
        <w:rPr>
          <w:lang w:val="en-US"/>
        </w:rPr>
        <w:t>IFN</w:t>
      </w:r>
      <w:r w:rsidRPr="0040783B">
        <w:t xml:space="preserve">, </w:t>
      </w:r>
      <w:r w:rsidRPr="00D32325">
        <w:rPr>
          <w:lang w:val="en-US"/>
        </w:rPr>
        <w:t>RBV</w:t>
      </w:r>
      <w:r w:rsidRPr="0040783B">
        <w:t xml:space="preserve"> или любое вещество действующего прямым образом противовирусного средства (</w:t>
      </w:r>
      <w:r w:rsidRPr="00D32325">
        <w:rPr>
          <w:lang w:val="en-US"/>
        </w:rPr>
        <w:t>DAA</w:t>
      </w:r>
      <w:r w:rsidRPr="0040783B">
        <w:t xml:space="preserve">) </w:t>
      </w:r>
      <w:r w:rsidRPr="00D32325">
        <w:rPr>
          <w:lang w:val="en-US"/>
        </w:rPr>
        <w:t>HCV</w:t>
      </w:r>
      <w:r w:rsidRPr="0040783B">
        <w:t>, ли экспериментальное, исследовательское, или американское Управление по контролю за продуктами и лекарствами одобренная (</w:t>
      </w:r>
      <w:r w:rsidRPr="00D32325">
        <w:rPr>
          <w:lang w:val="en-US"/>
        </w:rPr>
        <w:t>FDA</w:t>
      </w:r>
      <w:r w:rsidRPr="0040783B">
        <w:t>).</w:t>
      </w:r>
    </w:p>
    <w:p w:rsidR="0040783B" w:rsidRDefault="0040783B" w:rsidP="00E36270">
      <w:pPr>
        <w:ind w:left="-5" w:right="15"/>
      </w:pPr>
      <w:r w:rsidRPr="0040783B">
        <w:t xml:space="preserve">Расширения и примечания для сокращений, используемых в этой секции, могут быть найдены в </w:t>
      </w:r>
      <w:hyperlink r:id="rId8">
        <w:r w:rsidRPr="0040783B">
          <w:rPr>
            <w:color w:val="0000FF"/>
            <w:u w:val="single" w:color="0000FF"/>
          </w:rPr>
          <w:t>Таблице 3. [1] Методов</w:t>
        </w:r>
      </w:hyperlink>
    </w:p>
    <w:p w:rsidR="0040783B" w:rsidRPr="0040783B" w:rsidRDefault="0040783B" w:rsidP="00E36270">
      <w:pPr>
        <w:spacing w:after="249"/>
      </w:pPr>
      <w:r w:rsidRPr="0040783B">
        <w:rPr>
          <w:rFonts w:ascii="Calibri" w:eastAsia="Calibri" w:hAnsi="Calibri" w:cs="Calibri"/>
          <w:b/>
          <w:i/>
        </w:rPr>
        <w:t xml:space="preserve">Резюме рекомендаций для начального лечения найдено в </w:t>
      </w:r>
      <w:hyperlink r:id="rId9">
        <w:r w:rsidRPr="0040783B">
          <w:rPr>
            <w:rFonts w:ascii="Calibri" w:eastAsia="Calibri" w:hAnsi="Calibri" w:cs="Calibri"/>
            <w:b/>
            <w:i/>
            <w:color w:val="0000FF"/>
            <w:u w:val="single" w:color="0000FF"/>
          </w:rPr>
          <w:t>КОРОБКЕ</w:t>
        </w:r>
      </w:hyperlink>
      <w:r w:rsidRPr="0040783B">
        <w:rPr>
          <w:rFonts w:ascii="Calibri" w:eastAsia="Calibri" w:hAnsi="Calibri" w:cs="Calibri"/>
          <w:b/>
          <w:i/>
        </w:rPr>
        <w:t xml:space="preserve"> </w:t>
      </w:r>
      <w:r w:rsidRPr="0040783B">
        <w:rPr>
          <w:rFonts w:ascii="Calibri" w:eastAsia="Calibri" w:hAnsi="Calibri" w:cs="Calibri"/>
          <w:b/>
          <w:i/>
          <w:sz w:val="15"/>
        </w:rPr>
        <w:t>[2]</w:t>
      </w:r>
      <w:r w:rsidRPr="0040783B">
        <w:rPr>
          <w:rFonts w:ascii="Calibri" w:eastAsia="Calibri" w:hAnsi="Calibri" w:cs="Calibri"/>
          <w:b/>
          <w:i/>
        </w:rPr>
        <w:t>.</w:t>
      </w:r>
    </w:p>
    <w:p w:rsidR="0040783B" w:rsidRPr="0040783B" w:rsidRDefault="0040783B" w:rsidP="00E36270">
      <w:pPr>
        <w:ind w:left="-5" w:right="15"/>
      </w:pPr>
      <w:r w:rsidRPr="0040783B">
        <w:t xml:space="preserve">Уровень доказательств, доступных, чтобы сообщить лучшему решению лечения для каждого пациента, варьируется, как делает прочность рекомендации и оценивается соответственно (см. </w:t>
      </w:r>
      <w:hyperlink r:id="rId10">
        <w:r w:rsidRPr="0040783B">
          <w:rPr>
            <w:rFonts w:ascii="Calibri" w:eastAsia="Calibri" w:hAnsi="Calibri" w:cs="Calibri"/>
            <w:b/>
            <w:color w:val="0000FF"/>
            <w:u w:val="single" w:color="0000FF"/>
          </w:rPr>
          <w:t>Таблицу 2 [3] Методов</w:t>
        </w:r>
      </w:hyperlink>
      <w:r w:rsidRPr="0040783B">
        <w:t xml:space="preserve">). Кроме того, когда лечение отличается для определенной группы, такой как зараженные, определенный генотип </w:t>
      </w:r>
      <w:r w:rsidRPr="00D32325">
        <w:rPr>
          <w:lang w:val="en-US"/>
        </w:rPr>
        <w:t>HCV</w:t>
      </w:r>
      <w:r w:rsidRPr="0040783B">
        <w:t xml:space="preserve"> или подтип, определенные рекомендации даны. Режим отнесен как «Рекомендуемый», когда он одобрен для большинства пациентов и «Альтернативы», когда оптимальный в определенной субпопуляции пациентов в той категории. Когда лечение является ясно низшим или считается вредным, оно отнесено как «Не Рекомендуемый». Если иначе не обозначено, такие режимы не должны быть применены пациентам с инфекцией </w:t>
      </w:r>
      <w:r w:rsidRPr="00D32325">
        <w:rPr>
          <w:lang w:val="en-US"/>
        </w:rPr>
        <w:t>HCV</w:t>
      </w:r>
      <w:r w:rsidRPr="0040783B">
        <w:t xml:space="preserve">. Определенное рассмотрение людей с </w:t>
      </w:r>
      <w:hyperlink r:id="rId11">
        <w:r w:rsidRPr="0040783B">
          <w:rPr>
            <w:color w:val="0000FF"/>
            <w:u w:val="single" w:color="0000FF"/>
          </w:rPr>
          <w:t xml:space="preserve">коинфекцией </w:t>
        </w:r>
        <w:r w:rsidRPr="00D32325">
          <w:rPr>
            <w:color w:val="0000FF"/>
            <w:u w:val="single" w:color="0000FF"/>
            <w:lang w:val="en-US"/>
          </w:rPr>
          <w:t>HIV</w:t>
        </w:r>
        <w:r w:rsidRPr="0040783B">
          <w:rPr>
            <w:color w:val="0000FF"/>
            <w:u w:val="single" w:color="0000FF"/>
          </w:rPr>
          <w:t>/</w:t>
        </w:r>
        <w:r w:rsidRPr="00D32325">
          <w:rPr>
            <w:color w:val="0000FF"/>
            <w:u w:val="single" w:color="0000FF"/>
            <w:lang w:val="en-US"/>
          </w:rPr>
          <w:t>HCV</w:t>
        </w:r>
      </w:hyperlink>
      <w:r w:rsidRPr="0040783B">
        <w:t xml:space="preserve"> </w:t>
      </w:r>
      <w:r w:rsidRPr="0040783B">
        <w:rPr>
          <w:sz w:val="15"/>
        </w:rPr>
        <w:t>[4]</w:t>
      </w:r>
      <w:r w:rsidRPr="0040783B">
        <w:t xml:space="preserve">, </w:t>
      </w:r>
      <w:hyperlink r:id="rId12">
        <w:r w:rsidRPr="0040783B">
          <w:rPr>
            <w:color w:val="0000FF"/>
            <w:u w:val="single" w:color="0000FF"/>
          </w:rPr>
          <w:t>декомпенсировал цирроз</w:t>
        </w:r>
      </w:hyperlink>
      <w:r w:rsidRPr="0040783B">
        <w:t xml:space="preserve"> </w:t>
      </w:r>
      <w:r w:rsidRPr="0040783B">
        <w:rPr>
          <w:sz w:val="15"/>
        </w:rPr>
        <w:t>[5]</w:t>
      </w:r>
      <w:r w:rsidRPr="0040783B">
        <w:t xml:space="preserve"> (умеренное или тяжелое печеночное ухудшение; </w:t>
      </w:r>
      <w:hyperlink r:id="rId13" w:anchor="ctpclass">
        <w:r w:rsidRPr="0040783B">
          <w:rPr>
            <w:color w:val="0000FF"/>
            <w:u w:val="single" w:color="0000FF"/>
          </w:rPr>
          <w:t xml:space="preserve">класс </w:t>
        </w:r>
        <w:r w:rsidRPr="00D32325">
          <w:rPr>
            <w:color w:val="0000FF"/>
            <w:u w:val="single" w:color="0000FF"/>
            <w:lang w:val="en-US"/>
          </w:rPr>
          <w:t>B</w:t>
        </w:r>
        <w:r w:rsidRPr="0040783B">
          <w:rPr>
            <w:color w:val="0000FF"/>
            <w:u w:val="single" w:color="0000FF"/>
          </w:rPr>
          <w:t xml:space="preserve"> или </w:t>
        </w:r>
        <w:r w:rsidRPr="00D32325">
          <w:rPr>
            <w:color w:val="0000FF"/>
            <w:u w:val="single" w:color="0000FF"/>
            <w:lang w:val="en-US"/>
          </w:rPr>
          <w:t>C</w:t>
        </w:r>
        <w:r w:rsidRPr="0040783B">
          <w:rPr>
            <w:color w:val="0000FF"/>
            <w:u w:val="single" w:color="0000FF"/>
          </w:rPr>
          <w:t xml:space="preserve"> [6] ребенка Теркотта Пью [</w:t>
        </w:r>
        <w:r w:rsidRPr="00D32325">
          <w:rPr>
            <w:color w:val="0000FF"/>
            <w:u w:val="single" w:color="0000FF"/>
            <w:lang w:val="en-US"/>
          </w:rPr>
          <w:t>CTP</w:t>
        </w:r>
        <w:r w:rsidRPr="0040783B">
          <w:rPr>
            <w:color w:val="0000FF"/>
            <w:u w:val="single" w:color="0000FF"/>
          </w:rPr>
          <w:t>]</w:t>
        </w:r>
      </w:hyperlink>
      <w:r w:rsidRPr="0040783B">
        <w:t xml:space="preserve">), </w:t>
      </w:r>
      <w:hyperlink r:id="rId14">
        <w:r w:rsidRPr="0040783B">
          <w:rPr>
            <w:color w:val="0000FF"/>
            <w:u w:val="single" w:color="0000FF"/>
          </w:rPr>
          <w:t>пересадка постпечени</w:t>
        </w:r>
      </w:hyperlink>
      <w:r>
        <w:t xml:space="preserve"> </w:t>
      </w:r>
      <w:r w:rsidRPr="0040783B">
        <w:t xml:space="preserve">инфекции </w:t>
      </w:r>
      <w:r w:rsidRPr="00D32325">
        <w:rPr>
          <w:lang w:val="en-US"/>
        </w:rPr>
        <w:t>HCV</w:t>
      </w:r>
      <w:r w:rsidRPr="0040783B">
        <w:t xml:space="preserve"> </w:t>
      </w:r>
      <w:r w:rsidRPr="0040783B">
        <w:rPr>
          <w:sz w:val="15"/>
        </w:rPr>
        <w:t>[7]</w:t>
      </w:r>
      <w:r w:rsidRPr="0040783B">
        <w:t xml:space="preserve">, и те с тяжелым </w:t>
      </w:r>
      <w:hyperlink r:id="rId15">
        <w:r w:rsidRPr="0040783B">
          <w:rPr>
            <w:color w:val="0000FF"/>
            <w:u w:val="single" w:color="0000FF"/>
          </w:rPr>
          <w:t>почечным ухудшением</w:t>
        </w:r>
      </w:hyperlink>
      <w:r w:rsidRPr="0040783B">
        <w:t xml:space="preserve"> </w:t>
      </w:r>
      <w:r w:rsidRPr="0040783B">
        <w:rPr>
          <w:sz w:val="15"/>
        </w:rPr>
        <w:t>[8]</w:t>
      </w:r>
      <w:r w:rsidRPr="0040783B">
        <w:t xml:space="preserve"> или терминальная стадия почечной недостаточности (</w:t>
      </w:r>
      <w:r w:rsidRPr="00D32325">
        <w:rPr>
          <w:lang w:val="en-US"/>
        </w:rPr>
        <w:t>ESRD</w:t>
      </w:r>
      <w:r w:rsidRPr="0040783B">
        <w:t>) обращены в других секциях Руководства.</w:t>
      </w:r>
    </w:p>
    <w:p w:rsidR="0040783B" w:rsidRPr="0040783B" w:rsidRDefault="0040783B" w:rsidP="00E36270">
      <w:pPr>
        <w:spacing w:after="389"/>
        <w:ind w:left="-5" w:right="15"/>
      </w:pPr>
      <w:r w:rsidRPr="0040783B">
        <w:t xml:space="preserve">Когда несколько режимов предлагаются на том же уровне рекомендации, они перечисляются в алфавитном заказе. В этом рассмотрении случая выбора режима должен быть определен на основе определенных для пациента данных, включая лекарственные взаимодействия. Как всегда, пациенты, получающие антивирусную терапию, требуют осторожной оценки предварительной обработки для сопутствующих патологий, которые могут влиять на реакцию лечения. У всех пациентов должен быть осторожный контроль во время лечения, особенно для анемии, если </w:t>
      </w:r>
      <w:r w:rsidRPr="00D32325">
        <w:rPr>
          <w:lang w:val="en-US"/>
        </w:rPr>
        <w:t>RBV</w:t>
      </w:r>
      <w:r w:rsidRPr="0040783B">
        <w:t xml:space="preserve"> включен в режим. (См. </w:t>
      </w:r>
      <w:hyperlink r:id="rId16">
        <w:r w:rsidRPr="0040783B">
          <w:rPr>
            <w:rFonts w:ascii="Calibri" w:eastAsia="Calibri" w:hAnsi="Calibri" w:cs="Calibri"/>
            <w:b/>
            <w:color w:val="0000FF"/>
            <w:u w:val="single" w:color="0000FF"/>
          </w:rPr>
          <w:t xml:space="preserve">Контролирующую </w:t>
        </w:r>
      </w:hyperlink>
      <w:hyperlink r:id="rId17">
        <w:r w:rsidRPr="0040783B">
          <w:rPr>
            <w:rFonts w:ascii="Calibri" w:eastAsia="Calibri" w:hAnsi="Calibri" w:cs="Calibri"/>
            <w:b/>
            <w:color w:val="0000FF"/>
            <w:u w:val="single" w:color="0000FF"/>
          </w:rPr>
          <w:t>Секцию</w:t>
        </w:r>
      </w:hyperlink>
      <w:r w:rsidRPr="0040783B">
        <w:rPr>
          <w:rFonts w:ascii="Calibri" w:eastAsia="Calibri" w:hAnsi="Calibri" w:cs="Calibri"/>
          <w:b/>
        </w:rPr>
        <w:t xml:space="preserve"> </w:t>
      </w:r>
      <w:r w:rsidRPr="0040783B">
        <w:rPr>
          <w:rFonts w:ascii="Calibri" w:eastAsia="Calibri" w:hAnsi="Calibri" w:cs="Calibri"/>
          <w:b/>
          <w:sz w:val="15"/>
        </w:rPr>
        <w:t>[9]</w:t>
      </w:r>
      <w:r w:rsidRPr="0040783B">
        <w:t>),</w:t>
      </w:r>
    </w:p>
    <w:p w:rsidR="0040783B" w:rsidRPr="0040783B" w:rsidRDefault="0040783B" w:rsidP="00E36270">
      <w:pPr>
        <w:pStyle w:val="2"/>
        <w:spacing w:after="250"/>
        <w:ind w:left="-5"/>
      </w:pPr>
      <w:r w:rsidRPr="00D32325">
        <w:rPr>
          <w:lang w:val="en-US"/>
        </w:rPr>
        <w:lastRenderedPageBreak/>
        <w:t>I</w:t>
      </w:r>
      <w:r w:rsidRPr="0040783B">
        <w:t>. Генотип 1</w:t>
      </w:r>
    </w:p>
    <w:p w:rsidR="0040783B" w:rsidRPr="0040783B" w:rsidRDefault="0040783B" w:rsidP="00E36270">
      <w:pPr>
        <w:ind w:left="-5" w:right="15"/>
      </w:pPr>
      <w:r w:rsidRPr="0040783B">
        <w:t xml:space="preserve">Три очень мощных оральных режима комбинации </w:t>
      </w:r>
      <w:r w:rsidRPr="00D32325">
        <w:rPr>
          <w:lang w:val="en-US"/>
        </w:rPr>
        <w:t>DAA</w:t>
      </w:r>
      <w:r w:rsidRPr="0040783B">
        <w:t xml:space="preserve"> рекомендуются для генотипа </w:t>
      </w:r>
      <w:r w:rsidRPr="00D32325">
        <w:rPr>
          <w:lang w:val="en-US"/>
        </w:rPr>
        <w:t>HCV</w:t>
      </w:r>
      <w:r w:rsidRPr="0040783B">
        <w:t xml:space="preserve"> 1 зараженных пациентов, несмотря на то, что существуют различия в рекомендуемых режимах на основе подтипа </w:t>
      </w:r>
      <w:r w:rsidRPr="00D32325">
        <w:rPr>
          <w:lang w:val="en-US"/>
        </w:rPr>
        <w:t>HCV</w:t>
      </w:r>
      <w:r w:rsidRPr="0040783B">
        <w:t>.</w:t>
      </w:r>
    </w:p>
    <w:p w:rsidR="0040783B" w:rsidRPr="0040783B" w:rsidRDefault="0040783B" w:rsidP="00E36270">
      <w:pPr>
        <w:ind w:left="-5" w:right="15"/>
      </w:pPr>
      <w:r w:rsidRPr="0040783B">
        <w:t xml:space="preserve">Пациенты с генотипом </w:t>
      </w:r>
      <w:r w:rsidRPr="00D32325">
        <w:rPr>
          <w:lang w:val="en-US"/>
        </w:rPr>
        <w:t>HCV</w:t>
      </w:r>
      <w:r w:rsidRPr="0040783B">
        <w:t xml:space="preserve"> 1</w:t>
      </w:r>
      <w:r w:rsidRPr="00D32325">
        <w:rPr>
          <w:lang w:val="en-US"/>
        </w:rPr>
        <w:t>a</w:t>
      </w:r>
      <w:r w:rsidRPr="0040783B">
        <w:t xml:space="preserve"> склонны иметь более высокие показатели рецидива, чем пациенты с генотипом </w:t>
      </w:r>
      <w:r w:rsidRPr="00D32325">
        <w:rPr>
          <w:lang w:val="en-US"/>
        </w:rPr>
        <w:t>HCV</w:t>
      </w:r>
      <w:r w:rsidRPr="0040783B">
        <w:t xml:space="preserve"> 1</w:t>
      </w:r>
      <w:r w:rsidRPr="00D32325">
        <w:rPr>
          <w:lang w:val="en-US"/>
        </w:rPr>
        <w:t>b</w:t>
      </w:r>
      <w:r w:rsidRPr="0040783B">
        <w:t xml:space="preserve"> с определенными режимами. Генотип 1 инфекция </w:t>
      </w:r>
      <w:r w:rsidRPr="00D32325">
        <w:rPr>
          <w:lang w:val="en-US"/>
        </w:rPr>
        <w:t>HCV</w:t>
      </w:r>
      <w:r w:rsidRPr="0040783B">
        <w:t>, которая не может быть с выделенными подтипами, должен лечиться как генотип 1</w:t>
      </w:r>
      <w:r w:rsidRPr="00D32325">
        <w:rPr>
          <w:lang w:val="en-US"/>
        </w:rPr>
        <w:t>a</w:t>
      </w:r>
      <w:r w:rsidRPr="0040783B">
        <w:t xml:space="preserve"> инфекция.</w:t>
      </w:r>
    </w:p>
    <w:p w:rsidR="0040783B" w:rsidRPr="0040783B" w:rsidRDefault="0040783B" w:rsidP="00E36270">
      <w:pPr>
        <w:ind w:left="-5" w:right="15"/>
      </w:pPr>
      <w:r w:rsidRPr="0040783B">
        <w:t xml:space="preserve">Введение </w:t>
      </w:r>
      <w:r w:rsidRPr="00D32325">
        <w:rPr>
          <w:lang w:val="en-US"/>
        </w:rPr>
        <w:t>DAAs</w:t>
      </w:r>
      <w:r w:rsidRPr="0040783B">
        <w:t xml:space="preserve"> в режимы лечения </w:t>
      </w:r>
      <w:r w:rsidRPr="00D32325">
        <w:rPr>
          <w:lang w:val="en-US"/>
        </w:rPr>
        <w:t>HCV</w:t>
      </w:r>
      <w:r w:rsidRPr="0040783B">
        <w:t xml:space="preserve"> увеличило риск лекарственных взаимодействий с другими сопутствующими лечениями, используемыми пациентами, и теперь с комбинациями </w:t>
      </w:r>
      <w:r w:rsidRPr="00D32325">
        <w:rPr>
          <w:lang w:val="en-US"/>
        </w:rPr>
        <w:t>DAAs</w:t>
      </w:r>
      <w:r w:rsidRPr="0040783B">
        <w:t xml:space="preserve">, внимание к лекарственным взаимодействиям тем более важно (см. </w:t>
      </w:r>
      <w:r w:rsidRPr="0040783B">
        <w:rPr>
          <w:rFonts w:ascii="Calibri" w:eastAsia="Calibri" w:hAnsi="Calibri" w:cs="Calibri"/>
          <w:b/>
          <w:color w:val="0000FF"/>
          <w:u w:val="single" w:color="0000FF"/>
        </w:rPr>
        <w:t>Стол Лекарственных взаимодействий</w:t>
      </w:r>
      <w:r w:rsidRPr="0040783B">
        <w:t xml:space="preserve">). На информацию о предписании продукта и другие ресурсы (например, </w:t>
      </w:r>
      <w:hyperlink r:id="rId18">
        <w:r w:rsidRPr="00D32325">
          <w:rPr>
            <w:rFonts w:ascii="Calibri" w:eastAsia="Calibri" w:hAnsi="Calibri" w:cs="Calibri"/>
            <w:b/>
            <w:color w:val="0000FF"/>
            <w:u w:val="single" w:color="0000FF"/>
            <w:lang w:val="en-US"/>
          </w:rPr>
          <w:t>http</w:t>
        </w:r>
        <w:r w:rsidRPr="0040783B">
          <w:rPr>
            <w:rFonts w:ascii="Calibri" w:eastAsia="Calibri" w:hAnsi="Calibri" w:cs="Calibri"/>
            <w:b/>
            <w:color w:val="0000FF"/>
            <w:u w:val="single" w:color="0000FF"/>
          </w:rPr>
          <w:t>://</w:t>
        </w:r>
        <w:r w:rsidRPr="00D32325">
          <w:rPr>
            <w:rFonts w:ascii="Calibri" w:eastAsia="Calibri" w:hAnsi="Calibri" w:cs="Calibri"/>
            <w:b/>
            <w:color w:val="0000FF"/>
            <w:u w:val="single" w:color="0000FF"/>
            <w:lang w:val="en-US"/>
          </w:rPr>
          <w:t>www</w:t>
        </w:r>
        <w:r w:rsidRPr="0040783B">
          <w:rPr>
            <w:rFonts w:ascii="Calibri" w:eastAsia="Calibri" w:hAnsi="Calibri" w:cs="Calibri"/>
            <w:b/>
            <w:color w:val="0000FF"/>
            <w:u w:val="single" w:color="0000FF"/>
          </w:rPr>
          <w:t>.</w:t>
        </w:r>
        <w:r w:rsidRPr="00D32325">
          <w:rPr>
            <w:rFonts w:ascii="Calibri" w:eastAsia="Calibri" w:hAnsi="Calibri" w:cs="Calibri"/>
            <w:b/>
            <w:color w:val="0000FF"/>
            <w:u w:val="single" w:color="0000FF"/>
            <w:lang w:val="en-US"/>
          </w:rPr>
          <w:t>hep</w:t>
        </w:r>
        <w:r w:rsidRPr="0040783B">
          <w:rPr>
            <w:rFonts w:ascii="Calibri" w:eastAsia="Calibri" w:hAnsi="Calibri" w:cs="Calibri"/>
            <w:b/>
            <w:color w:val="0000FF"/>
            <w:u w:val="single" w:color="0000FF"/>
          </w:rPr>
          <w:t>-</w:t>
        </w:r>
        <w:r w:rsidRPr="00D32325">
          <w:rPr>
            <w:rFonts w:ascii="Calibri" w:eastAsia="Calibri" w:hAnsi="Calibri" w:cs="Calibri"/>
            <w:b/>
            <w:color w:val="0000FF"/>
            <w:u w:val="single" w:color="0000FF"/>
            <w:lang w:val="en-US"/>
          </w:rPr>
          <w:t>druginteractions</w:t>
        </w:r>
        <w:r w:rsidRPr="0040783B">
          <w:rPr>
            <w:rFonts w:ascii="Calibri" w:eastAsia="Calibri" w:hAnsi="Calibri" w:cs="Calibri"/>
            <w:b/>
            <w:color w:val="0000FF"/>
            <w:u w:val="single" w:color="0000FF"/>
          </w:rPr>
          <w:t>.</w:t>
        </w:r>
        <w:r w:rsidRPr="00D32325">
          <w:rPr>
            <w:rFonts w:ascii="Calibri" w:eastAsia="Calibri" w:hAnsi="Calibri" w:cs="Calibri"/>
            <w:b/>
            <w:color w:val="0000FF"/>
            <w:u w:val="single" w:color="0000FF"/>
            <w:lang w:val="en-US"/>
          </w:rPr>
          <w:t>org</w:t>
        </w:r>
        <w:r w:rsidRPr="0040783B">
          <w:rPr>
            <w:rFonts w:ascii="Calibri" w:eastAsia="Calibri" w:hAnsi="Calibri" w:cs="Calibri"/>
            <w:b/>
            <w:color w:val="0000FF"/>
            <w:u w:val="single" w:color="0000FF"/>
          </w:rPr>
          <w:t>/</w:t>
        </w:r>
      </w:hyperlink>
      <w:r w:rsidRPr="0040783B">
        <w:rPr>
          <w:rFonts w:ascii="Calibri" w:eastAsia="Calibri" w:hAnsi="Calibri" w:cs="Calibri"/>
          <w:b/>
        </w:rPr>
        <w:t xml:space="preserve"> [10]</w:t>
      </w:r>
      <w:r w:rsidRPr="0040783B">
        <w:t xml:space="preserve">) нужно сослаться регулярно, чтобы обеспечить безопасность при предписании режимов </w:t>
      </w:r>
      <w:r w:rsidRPr="00D32325">
        <w:rPr>
          <w:lang w:val="en-US"/>
        </w:rPr>
        <w:t>DAA</w:t>
      </w:r>
      <w:r w:rsidRPr="0040783B">
        <w:t xml:space="preserve">. В частности ежедневная комбинация фиксированной дозы </w:t>
      </w:r>
      <w:r w:rsidRPr="00D32325">
        <w:rPr>
          <w:lang w:val="en-US"/>
        </w:rPr>
        <w:t>ledipasvir</w:t>
      </w:r>
      <w:r w:rsidRPr="0040783B">
        <w:t xml:space="preserve"> (90 мг) и </w:t>
      </w:r>
      <w:r w:rsidRPr="00D32325">
        <w:rPr>
          <w:lang w:val="en-US"/>
        </w:rPr>
        <w:t>sofosbuvir</w:t>
      </w:r>
      <w:r w:rsidRPr="0040783B">
        <w:t xml:space="preserve"> (400 мг) (после этого </w:t>
      </w:r>
      <w:r w:rsidRPr="00D32325">
        <w:rPr>
          <w:lang w:val="en-US"/>
        </w:rPr>
        <w:t>ledipasvir</w:t>
      </w:r>
      <w:r w:rsidRPr="0040783B">
        <w:t>/</w:t>
      </w:r>
      <w:r w:rsidRPr="00D32325">
        <w:rPr>
          <w:lang w:val="en-US"/>
        </w:rPr>
        <w:t>sofosbuvir</w:t>
      </w:r>
      <w:r w:rsidRPr="0040783B">
        <w:t xml:space="preserve">) имеет потенциальное взаимодействие с подавляющими кислоту лекарствами, например ингибиторы протонной помпы, которые могут привести к сниженному поглощению </w:t>
      </w:r>
      <w:r w:rsidRPr="00D32325">
        <w:rPr>
          <w:lang w:val="en-US"/>
        </w:rPr>
        <w:t>ledipasvir</w:t>
      </w:r>
      <w:r w:rsidRPr="0040783B">
        <w:t xml:space="preserve"> и понизить выделения. Из-за отпускаемого без рецепта доступа к подавляющим кислоту лекарствам всесторонняя оценка всех прописанных и отпускаемых без рецепта лекарств рекомендуется до инициирования лечения. Если возможно, подавляющие кислоту лекарства, как должно считаться, до и во время периода лечения </w:t>
      </w:r>
      <w:r w:rsidRPr="00D32325">
        <w:rPr>
          <w:lang w:val="en-US"/>
        </w:rPr>
        <w:t>HCV</w:t>
      </w:r>
      <w:r w:rsidRPr="0040783B">
        <w:t xml:space="preserve"> оптимизируют </w:t>
      </w:r>
      <w:r w:rsidRPr="00D32325">
        <w:rPr>
          <w:lang w:val="en-US"/>
        </w:rPr>
        <w:t>ledipasvir</w:t>
      </w:r>
      <w:r w:rsidRPr="0040783B">
        <w:t xml:space="preserve"> выделение. Для пациентов, в которых прерывание кислотной супрессии не возможно, дозирование кислотных супрессивных средств рекомендуется за информацию о предписании.</w:t>
      </w:r>
    </w:p>
    <w:p w:rsidR="0040783B" w:rsidRPr="0040783B" w:rsidRDefault="0040783B" w:rsidP="00E36270">
      <w:pPr>
        <w:spacing w:after="386"/>
        <w:ind w:left="-5" w:right="15"/>
      </w:pPr>
      <w:r w:rsidRPr="0040783B">
        <w:t xml:space="preserve">Точно так же ежедневная комбинация фиксированной дозы </w:t>
      </w:r>
      <w:r w:rsidRPr="00D32325">
        <w:rPr>
          <w:lang w:val="en-US"/>
        </w:rPr>
        <w:t>paritaprevir</w:t>
      </w:r>
      <w:r w:rsidRPr="0040783B">
        <w:t xml:space="preserve"> (150 мг), </w:t>
      </w:r>
      <w:r w:rsidRPr="00D32325">
        <w:rPr>
          <w:lang w:val="en-US"/>
        </w:rPr>
        <w:t>ritonavir</w:t>
      </w:r>
      <w:r w:rsidRPr="0040783B">
        <w:t xml:space="preserve"> (100 мг), и </w:t>
      </w:r>
      <w:r w:rsidRPr="00D32325">
        <w:rPr>
          <w:lang w:val="en-US"/>
        </w:rPr>
        <w:t>ombitasvir</w:t>
      </w:r>
      <w:r w:rsidRPr="0040783B">
        <w:t xml:space="preserve"> (25 мг) плюс два раза в день дозируемый </w:t>
      </w:r>
      <w:r w:rsidRPr="00D32325">
        <w:rPr>
          <w:lang w:val="en-US"/>
        </w:rPr>
        <w:t>dasabuvir</w:t>
      </w:r>
      <w:r w:rsidRPr="0040783B">
        <w:t xml:space="preserve"> (250 мг) (после этого </w:t>
      </w:r>
      <w:r w:rsidRPr="00D32325">
        <w:rPr>
          <w:lang w:val="en-US"/>
        </w:rPr>
        <w:t>paritaprevir</w:t>
      </w:r>
      <w:r w:rsidRPr="0040783B">
        <w:t>/</w:t>
      </w:r>
      <w:r w:rsidRPr="00D32325">
        <w:rPr>
          <w:lang w:val="en-US"/>
        </w:rPr>
        <w:t>ritonavir</w:t>
      </w:r>
      <w:r w:rsidRPr="0040783B">
        <w:t>/</w:t>
      </w:r>
      <w:r w:rsidRPr="00D32325">
        <w:rPr>
          <w:lang w:val="en-US"/>
        </w:rPr>
        <w:t>ombitasvir</w:t>
      </w:r>
      <w:r w:rsidRPr="0040783B">
        <w:t xml:space="preserve"> плюс </w:t>
      </w:r>
      <w:r w:rsidRPr="00D32325">
        <w:rPr>
          <w:lang w:val="en-US"/>
        </w:rPr>
        <w:t>dasabuvir</w:t>
      </w:r>
      <w:r w:rsidRPr="0040783B">
        <w:t xml:space="preserve"> или </w:t>
      </w:r>
      <w:r w:rsidRPr="00D32325">
        <w:rPr>
          <w:lang w:val="en-US"/>
        </w:rPr>
        <w:t>PrOD</w:t>
      </w:r>
      <w:r w:rsidRPr="0040783B">
        <w:t xml:space="preserve">) имеет существенное взаимодействие с вдохнувшим агонистом бета-адренорецептора длительного действия </w:t>
      </w:r>
      <w:r w:rsidRPr="00D32325">
        <w:rPr>
          <w:lang w:val="en-US"/>
        </w:rPr>
        <w:t>salmeterol</w:t>
      </w:r>
      <w:r w:rsidRPr="0040783B">
        <w:t>, и параллельному назначению не рекомендуют вследствие повышенного риска сердечно-сосудистых нежелательных явлений включая спокойное продление сегмента.</w:t>
      </w:r>
    </w:p>
    <w:p w:rsidR="0040783B" w:rsidRPr="0040783B" w:rsidRDefault="0040783B" w:rsidP="00E36270">
      <w:pPr>
        <w:pStyle w:val="2"/>
        <w:ind w:left="-5"/>
      </w:pPr>
      <w:r w:rsidRPr="00D32325">
        <w:rPr>
          <w:lang w:val="en-US"/>
        </w:rPr>
        <w:t>A</w:t>
      </w:r>
      <w:r w:rsidRPr="0040783B">
        <w:t>. Генотип 1</w:t>
      </w:r>
      <w:r w:rsidRPr="00D32325">
        <w:rPr>
          <w:lang w:val="en-US"/>
        </w:rPr>
        <w:t>a</w:t>
      </w:r>
    </w:p>
    <w:p w:rsidR="0040783B" w:rsidRPr="0040783B" w:rsidRDefault="0040783B" w:rsidP="00E36270">
      <w:pPr>
        <w:pBdr>
          <w:top w:val="single" w:sz="18" w:space="0" w:color="1B6F1B"/>
          <w:left w:val="single" w:sz="18" w:space="0" w:color="1B6F1B"/>
          <w:right w:val="single" w:sz="18" w:space="0" w:color="1B6F1B"/>
        </w:pBdr>
        <w:shd w:val="clear" w:color="auto" w:fill="FFFAF6"/>
        <w:spacing w:after="143" w:line="261" w:lineRule="auto"/>
        <w:ind w:left="260" w:right="237"/>
      </w:pPr>
      <w:r w:rsidRPr="0040783B">
        <w:rPr>
          <w:rFonts w:ascii="Calibri" w:eastAsia="Calibri" w:hAnsi="Calibri" w:cs="Calibri"/>
          <w:b/>
          <w:i/>
          <w:color w:val="145314"/>
          <w:sz w:val="24"/>
        </w:rPr>
        <w:t xml:space="preserve">Несколько вариантов с подобной эффективностью в целом рекомендуются для </w:t>
      </w:r>
      <w:r w:rsidRPr="00D32325">
        <w:rPr>
          <w:rFonts w:ascii="Calibri" w:eastAsia="Calibri" w:hAnsi="Calibri" w:cs="Calibri"/>
          <w:b/>
          <w:i/>
          <w:color w:val="145314"/>
          <w:sz w:val="24"/>
          <w:lang w:val="en-US"/>
        </w:rPr>
        <w:t>treatmentnaive</w:t>
      </w:r>
      <w:r w:rsidRPr="0040783B">
        <w:rPr>
          <w:rFonts w:ascii="Calibri" w:eastAsia="Calibri" w:hAnsi="Calibri" w:cs="Calibri"/>
          <w:b/>
          <w:i/>
          <w:color w:val="145314"/>
          <w:sz w:val="24"/>
        </w:rPr>
        <w:t xml:space="preserve"> пациентов с генотипом </w:t>
      </w:r>
      <w:r w:rsidRPr="00D32325">
        <w:rPr>
          <w:rFonts w:ascii="Calibri" w:eastAsia="Calibri" w:hAnsi="Calibri" w:cs="Calibri"/>
          <w:b/>
          <w:i/>
          <w:color w:val="145314"/>
          <w:sz w:val="24"/>
          <w:lang w:val="en-US"/>
        </w:rPr>
        <w:t>HCV</w:t>
      </w:r>
      <w:r w:rsidRPr="0040783B">
        <w:rPr>
          <w:rFonts w:ascii="Calibri" w:eastAsia="Calibri" w:hAnsi="Calibri" w:cs="Calibri"/>
          <w:b/>
          <w:i/>
          <w:color w:val="145314"/>
          <w:sz w:val="24"/>
        </w:rPr>
        <w:t xml:space="preserve"> 1</w:t>
      </w:r>
      <w:r w:rsidRPr="00D32325">
        <w:rPr>
          <w:rFonts w:ascii="Calibri" w:eastAsia="Calibri" w:hAnsi="Calibri" w:cs="Calibri"/>
          <w:b/>
          <w:i/>
          <w:color w:val="145314"/>
          <w:sz w:val="24"/>
          <w:lang w:val="en-US"/>
        </w:rPr>
        <w:t>a</w:t>
      </w:r>
      <w:r w:rsidRPr="0040783B">
        <w:rPr>
          <w:rFonts w:ascii="Calibri" w:eastAsia="Calibri" w:hAnsi="Calibri" w:cs="Calibri"/>
          <w:b/>
          <w:i/>
          <w:color w:val="145314"/>
          <w:sz w:val="24"/>
        </w:rPr>
        <w:t xml:space="preserve"> инфекция (перечисленный в алфавитном заказе; см. текст).</w:t>
      </w:r>
    </w:p>
    <w:p w:rsidR="0040783B" w:rsidRPr="0040783B" w:rsidRDefault="0040783B" w:rsidP="00E36270">
      <w:pPr>
        <w:pBdr>
          <w:top w:val="single" w:sz="18" w:space="0" w:color="1B6F1B"/>
          <w:left w:val="single" w:sz="18" w:space="0" w:color="1B6F1B"/>
          <w:right w:val="single" w:sz="18" w:space="0" w:color="1B6F1B"/>
        </w:pBdr>
        <w:shd w:val="clear" w:color="auto" w:fill="FFFAF6"/>
        <w:spacing w:after="202" w:line="261" w:lineRule="auto"/>
        <w:ind w:left="260" w:right="237"/>
      </w:pPr>
      <w:r w:rsidRPr="0040783B">
        <w:rPr>
          <w:rFonts w:ascii="Calibri" w:eastAsia="Calibri" w:hAnsi="Calibri" w:cs="Calibri"/>
          <w:b/>
          <w:color w:val="3077B8"/>
          <w:sz w:val="26"/>
        </w:rPr>
        <w:t xml:space="preserve">Ежедневный </w:t>
      </w:r>
      <w:r w:rsidRPr="00D32325">
        <w:rPr>
          <w:rFonts w:ascii="Calibri" w:eastAsia="Calibri" w:hAnsi="Calibri" w:cs="Calibri"/>
          <w:b/>
          <w:color w:val="3077B8"/>
          <w:sz w:val="26"/>
          <w:lang w:val="en-US"/>
        </w:rPr>
        <w:t>daclatasvir</w:t>
      </w:r>
      <w:r w:rsidRPr="0040783B">
        <w:rPr>
          <w:rFonts w:ascii="Calibri" w:eastAsia="Calibri" w:hAnsi="Calibri" w:cs="Calibri"/>
          <w:b/>
          <w:color w:val="3077B8"/>
          <w:sz w:val="26"/>
        </w:rPr>
        <w:t xml:space="preserve"> (60 мг*) и </w:t>
      </w:r>
      <w:r w:rsidRPr="00D32325">
        <w:rPr>
          <w:rFonts w:ascii="Calibri" w:eastAsia="Calibri" w:hAnsi="Calibri" w:cs="Calibri"/>
          <w:b/>
          <w:color w:val="3077B8"/>
          <w:sz w:val="26"/>
          <w:lang w:val="en-US"/>
        </w:rPr>
        <w:t>sofosbuvir</w:t>
      </w:r>
      <w:r w:rsidRPr="0040783B">
        <w:rPr>
          <w:rFonts w:ascii="Calibri" w:eastAsia="Calibri" w:hAnsi="Calibri" w:cs="Calibri"/>
          <w:b/>
          <w:color w:val="3077B8"/>
          <w:sz w:val="26"/>
        </w:rPr>
        <w:t xml:space="preserve"> (400 мг) в течение 12 недель (никакой цирроз) или 24 недель с или без основанного на весе </w:t>
      </w:r>
      <w:r w:rsidRPr="00D32325">
        <w:rPr>
          <w:rFonts w:ascii="Calibri" w:eastAsia="Calibri" w:hAnsi="Calibri" w:cs="Calibri"/>
          <w:b/>
          <w:color w:val="3077B8"/>
          <w:sz w:val="26"/>
          <w:lang w:val="en-US"/>
        </w:rPr>
        <w:t>RBV</w:t>
      </w:r>
      <w:r w:rsidRPr="0040783B">
        <w:rPr>
          <w:rFonts w:ascii="Calibri" w:eastAsia="Calibri" w:hAnsi="Calibri" w:cs="Calibri"/>
          <w:b/>
          <w:color w:val="3077B8"/>
          <w:sz w:val="26"/>
        </w:rPr>
        <w:t xml:space="preserve"> (1</w:t>
      </w:r>
      <w:r w:rsidRPr="00D32325">
        <w:rPr>
          <w:rFonts w:ascii="Calibri" w:eastAsia="Calibri" w:hAnsi="Calibri" w:cs="Calibri"/>
          <w:b/>
          <w:color w:val="3077B8"/>
          <w:sz w:val="26"/>
          <w:lang w:val="en-US"/>
        </w:rPr>
        <w:t> </w:t>
      </w:r>
      <w:r w:rsidRPr="0040783B">
        <w:rPr>
          <w:rFonts w:ascii="Calibri" w:eastAsia="Calibri" w:hAnsi="Calibri" w:cs="Calibri"/>
          <w:b/>
          <w:color w:val="3077B8"/>
          <w:sz w:val="26"/>
        </w:rPr>
        <w:t>000 мг [&lt;75 кг] к 1</w:t>
      </w:r>
      <w:r w:rsidRPr="00D32325">
        <w:rPr>
          <w:rFonts w:ascii="Calibri" w:eastAsia="Calibri" w:hAnsi="Calibri" w:cs="Calibri"/>
          <w:b/>
          <w:color w:val="3077B8"/>
          <w:sz w:val="26"/>
          <w:lang w:val="en-US"/>
        </w:rPr>
        <w:t> </w:t>
      </w:r>
      <w:r w:rsidRPr="0040783B">
        <w:rPr>
          <w:rFonts w:ascii="Calibri" w:eastAsia="Calibri" w:hAnsi="Calibri" w:cs="Calibri"/>
          <w:b/>
          <w:color w:val="3077B8"/>
          <w:sz w:val="26"/>
        </w:rPr>
        <w:t xml:space="preserve">200 мг [&gt; 75 кг]) (цирроз) рекомендуется для наивных лечением пациентов с генотипом </w:t>
      </w:r>
      <w:r w:rsidRPr="00D32325">
        <w:rPr>
          <w:rFonts w:ascii="Calibri" w:eastAsia="Calibri" w:hAnsi="Calibri" w:cs="Calibri"/>
          <w:b/>
          <w:color w:val="3077B8"/>
          <w:sz w:val="26"/>
          <w:lang w:val="en-US"/>
        </w:rPr>
        <w:t>HCV</w:t>
      </w:r>
      <w:r w:rsidRPr="0040783B">
        <w:rPr>
          <w:rFonts w:ascii="Calibri" w:eastAsia="Calibri" w:hAnsi="Calibri" w:cs="Calibri"/>
          <w:b/>
          <w:color w:val="3077B8"/>
          <w:sz w:val="26"/>
        </w:rPr>
        <w:t xml:space="preserve"> 1</w:t>
      </w:r>
      <w:r w:rsidRPr="00D32325">
        <w:rPr>
          <w:rFonts w:ascii="Calibri" w:eastAsia="Calibri" w:hAnsi="Calibri" w:cs="Calibri"/>
          <w:b/>
          <w:color w:val="3077B8"/>
          <w:sz w:val="26"/>
          <w:lang w:val="en-US"/>
        </w:rPr>
        <w:t>a</w:t>
      </w:r>
      <w:r w:rsidRPr="0040783B">
        <w:rPr>
          <w:rFonts w:ascii="Calibri" w:eastAsia="Calibri" w:hAnsi="Calibri" w:cs="Calibri"/>
          <w:b/>
          <w:color w:val="3077B8"/>
          <w:sz w:val="26"/>
        </w:rPr>
        <w:t xml:space="preserve"> инфекция.</w:t>
      </w:r>
    </w:p>
    <w:p w:rsidR="0040783B" w:rsidRPr="0040783B" w:rsidRDefault="0040783B" w:rsidP="00E36270">
      <w:pPr>
        <w:pBdr>
          <w:top w:val="single" w:sz="18" w:space="0" w:color="1B6F1B"/>
          <w:left w:val="single" w:sz="18" w:space="0" w:color="1B6F1B"/>
          <w:right w:val="single" w:sz="18" w:space="0" w:color="1B6F1B"/>
        </w:pBdr>
        <w:shd w:val="clear" w:color="auto" w:fill="FFFAF6"/>
        <w:spacing w:after="294"/>
        <w:ind w:left="260" w:right="237"/>
      </w:pPr>
      <w:r w:rsidRPr="0040783B">
        <w:rPr>
          <w:rFonts w:ascii="Calibri" w:eastAsia="Calibri" w:hAnsi="Calibri" w:cs="Calibri"/>
          <w:b/>
        </w:rPr>
        <w:t xml:space="preserve">Рейтинг: </w:t>
      </w:r>
      <w:r w:rsidRPr="0040783B">
        <w:t xml:space="preserve">Класс </w:t>
      </w:r>
      <w:r w:rsidRPr="00D32325">
        <w:rPr>
          <w:lang w:val="en-US"/>
        </w:rPr>
        <w:t>I</w:t>
      </w:r>
      <w:r w:rsidRPr="0040783B">
        <w:t xml:space="preserve">, Уровень </w:t>
      </w:r>
      <w:r w:rsidRPr="00D32325">
        <w:rPr>
          <w:lang w:val="en-US"/>
        </w:rPr>
        <w:t>B</w:t>
      </w:r>
      <w:r w:rsidRPr="0040783B">
        <w:t xml:space="preserve"> (никакой цирроз); Класс </w:t>
      </w:r>
      <w:r w:rsidRPr="00D32325">
        <w:rPr>
          <w:lang w:val="en-US"/>
        </w:rPr>
        <w:t>IIa</w:t>
      </w:r>
      <w:r w:rsidRPr="0040783B">
        <w:t xml:space="preserve">, Уровень </w:t>
      </w:r>
      <w:r w:rsidRPr="00D32325">
        <w:rPr>
          <w:lang w:val="en-US"/>
        </w:rPr>
        <w:t>B</w:t>
      </w:r>
      <w:r w:rsidRPr="0040783B">
        <w:t xml:space="preserve"> (цирроз)</w:t>
      </w:r>
    </w:p>
    <w:p w:rsidR="0040783B" w:rsidRPr="0040783B" w:rsidRDefault="0040783B" w:rsidP="00E36270">
      <w:pPr>
        <w:pBdr>
          <w:top w:val="single" w:sz="18" w:space="0" w:color="1B6F1B"/>
          <w:left w:val="single" w:sz="18" w:space="0" w:color="1B6F1B"/>
          <w:right w:val="single" w:sz="18" w:space="0" w:color="1B6F1B"/>
        </w:pBdr>
        <w:shd w:val="clear" w:color="auto" w:fill="FFFAF6"/>
        <w:spacing w:after="202" w:line="261" w:lineRule="auto"/>
        <w:ind w:left="260" w:right="237"/>
      </w:pPr>
      <w:r w:rsidRPr="0040783B">
        <w:rPr>
          <w:rFonts w:ascii="Calibri" w:eastAsia="Calibri" w:hAnsi="Calibri" w:cs="Calibri"/>
          <w:b/>
          <w:color w:val="3077B8"/>
          <w:sz w:val="26"/>
        </w:rPr>
        <w:t xml:space="preserve">Ежедневная комбинация фиксированной дозы </w:t>
      </w:r>
      <w:r w:rsidRPr="00D32325">
        <w:rPr>
          <w:rFonts w:ascii="Calibri" w:eastAsia="Calibri" w:hAnsi="Calibri" w:cs="Calibri"/>
          <w:b/>
          <w:color w:val="3077B8"/>
          <w:sz w:val="26"/>
          <w:lang w:val="en-US"/>
        </w:rPr>
        <w:t>ledipasvir</w:t>
      </w:r>
      <w:r w:rsidRPr="0040783B">
        <w:rPr>
          <w:rFonts w:ascii="Calibri" w:eastAsia="Calibri" w:hAnsi="Calibri" w:cs="Calibri"/>
          <w:b/>
          <w:color w:val="3077B8"/>
          <w:sz w:val="26"/>
        </w:rPr>
        <w:t xml:space="preserve"> (90 мг)/</w:t>
      </w:r>
      <w:r w:rsidRPr="00D32325">
        <w:rPr>
          <w:rFonts w:ascii="Calibri" w:eastAsia="Calibri" w:hAnsi="Calibri" w:cs="Calibri"/>
          <w:b/>
          <w:color w:val="3077B8"/>
          <w:sz w:val="26"/>
          <w:lang w:val="en-US"/>
        </w:rPr>
        <w:t>sofosbuvir</w:t>
      </w:r>
      <w:r w:rsidRPr="0040783B">
        <w:rPr>
          <w:rFonts w:ascii="Calibri" w:eastAsia="Calibri" w:hAnsi="Calibri" w:cs="Calibri"/>
          <w:b/>
          <w:color w:val="3077B8"/>
          <w:sz w:val="26"/>
        </w:rPr>
        <w:t xml:space="preserve"> (400 мг) в течение 12 недель рекомендуется для наивных лечением пациентов с генотипом </w:t>
      </w:r>
      <w:r w:rsidRPr="00D32325">
        <w:rPr>
          <w:rFonts w:ascii="Calibri" w:eastAsia="Calibri" w:hAnsi="Calibri" w:cs="Calibri"/>
          <w:b/>
          <w:color w:val="3077B8"/>
          <w:sz w:val="26"/>
          <w:lang w:val="en-US"/>
        </w:rPr>
        <w:t>HCV</w:t>
      </w:r>
      <w:r w:rsidRPr="0040783B">
        <w:rPr>
          <w:rFonts w:ascii="Calibri" w:eastAsia="Calibri" w:hAnsi="Calibri" w:cs="Calibri"/>
          <w:b/>
          <w:color w:val="3077B8"/>
          <w:sz w:val="26"/>
        </w:rPr>
        <w:t xml:space="preserve"> 1</w:t>
      </w:r>
      <w:r w:rsidRPr="00D32325">
        <w:rPr>
          <w:rFonts w:ascii="Calibri" w:eastAsia="Calibri" w:hAnsi="Calibri" w:cs="Calibri"/>
          <w:b/>
          <w:color w:val="3077B8"/>
          <w:sz w:val="26"/>
          <w:lang w:val="en-US"/>
        </w:rPr>
        <w:t>a</w:t>
      </w:r>
      <w:r w:rsidRPr="0040783B">
        <w:rPr>
          <w:rFonts w:ascii="Calibri" w:eastAsia="Calibri" w:hAnsi="Calibri" w:cs="Calibri"/>
          <w:b/>
          <w:color w:val="3077B8"/>
          <w:sz w:val="26"/>
        </w:rPr>
        <w:t xml:space="preserve"> инфекция.</w:t>
      </w:r>
    </w:p>
    <w:p w:rsidR="0040783B" w:rsidRPr="0040783B" w:rsidRDefault="0040783B" w:rsidP="00E36270">
      <w:pPr>
        <w:pBdr>
          <w:top w:val="single" w:sz="18" w:space="0" w:color="1B6F1B"/>
          <w:left w:val="single" w:sz="18" w:space="0" w:color="1B6F1B"/>
          <w:right w:val="single" w:sz="18" w:space="0" w:color="1B6F1B"/>
        </w:pBdr>
        <w:shd w:val="clear" w:color="auto" w:fill="FFFAF6"/>
        <w:spacing w:after="294"/>
        <w:ind w:left="260" w:right="237"/>
      </w:pPr>
      <w:r w:rsidRPr="0040783B">
        <w:rPr>
          <w:rFonts w:ascii="Calibri" w:eastAsia="Calibri" w:hAnsi="Calibri" w:cs="Calibri"/>
          <w:b/>
        </w:rPr>
        <w:t xml:space="preserve">Рейтинг: </w:t>
      </w:r>
      <w:r w:rsidRPr="0040783B">
        <w:t xml:space="preserve">класс </w:t>
      </w:r>
      <w:r w:rsidRPr="00D32325">
        <w:rPr>
          <w:lang w:val="en-US"/>
        </w:rPr>
        <w:t>I</w:t>
      </w:r>
      <w:r w:rsidRPr="0040783B">
        <w:t xml:space="preserve">, уровень </w:t>
      </w:r>
      <w:r w:rsidRPr="00D32325">
        <w:rPr>
          <w:lang w:val="en-US"/>
        </w:rPr>
        <w:t>A</w:t>
      </w:r>
    </w:p>
    <w:p w:rsidR="0040783B" w:rsidRPr="0040783B" w:rsidRDefault="0040783B" w:rsidP="00E36270">
      <w:pPr>
        <w:pBdr>
          <w:top w:val="single" w:sz="18" w:space="0" w:color="1B6F1B"/>
          <w:left w:val="single" w:sz="18" w:space="0" w:color="1B6F1B"/>
          <w:right w:val="single" w:sz="18" w:space="0" w:color="1B6F1B"/>
        </w:pBdr>
        <w:shd w:val="clear" w:color="auto" w:fill="FFFAF6"/>
        <w:spacing w:after="202" w:line="261" w:lineRule="auto"/>
        <w:ind w:left="260" w:right="237"/>
      </w:pPr>
      <w:r w:rsidRPr="0040783B">
        <w:rPr>
          <w:rFonts w:ascii="Calibri" w:eastAsia="Calibri" w:hAnsi="Calibri" w:cs="Calibri"/>
          <w:b/>
          <w:color w:val="3077B8"/>
          <w:sz w:val="26"/>
        </w:rPr>
        <w:t xml:space="preserve">Ежедневная комбинация фиксированной дозы </w:t>
      </w:r>
      <w:r w:rsidRPr="00D32325">
        <w:rPr>
          <w:rFonts w:ascii="Calibri" w:eastAsia="Calibri" w:hAnsi="Calibri" w:cs="Calibri"/>
          <w:b/>
          <w:color w:val="3077B8"/>
          <w:sz w:val="26"/>
          <w:lang w:val="en-US"/>
        </w:rPr>
        <w:t>paritaprevir</w:t>
      </w:r>
      <w:r w:rsidRPr="0040783B">
        <w:rPr>
          <w:rFonts w:ascii="Calibri" w:eastAsia="Calibri" w:hAnsi="Calibri" w:cs="Calibri"/>
          <w:b/>
          <w:color w:val="3077B8"/>
          <w:sz w:val="26"/>
        </w:rPr>
        <w:t xml:space="preserve"> (150 мг)/</w:t>
      </w:r>
      <w:r w:rsidRPr="00D32325">
        <w:rPr>
          <w:rFonts w:ascii="Calibri" w:eastAsia="Calibri" w:hAnsi="Calibri" w:cs="Calibri"/>
          <w:b/>
          <w:color w:val="3077B8"/>
          <w:sz w:val="26"/>
          <w:lang w:val="en-US"/>
        </w:rPr>
        <w:t>ritonavir</w:t>
      </w:r>
      <w:r w:rsidRPr="0040783B">
        <w:rPr>
          <w:rFonts w:ascii="Calibri" w:eastAsia="Calibri" w:hAnsi="Calibri" w:cs="Calibri"/>
          <w:b/>
          <w:color w:val="3077B8"/>
          <w:sz w:val="26"/>
        </w:rPr>
        <w:t xml:space="preserve"> (100 мг)/</w:t>
      </w:r>
      <w:r w:rsidRPr="00D32325">
        <w:rPr>
          <w:rFonts w:ascii="Calibri" w:eastAsia="Calibri" w:hAnsi="Calibri" w:cs="Calibri"/>
          <w:b/>
          <w:color w:val="3077B8"/>
          <w:sz w:val="26"/>
          <w:lang w:val="en-US"/>
        </w:rPr>
        <w:t>ombitasvir</w:t>
      </w:r>
      <w:r w:rsidRPr="0040783B">
        <w:rPr>
          <w:rFonts w:ascii="Calibri" w:eastAsia="Calibri" w:hAnsi="Calibri" w:cs="Calibri"/>
          <w:b/>
          <w:color w:val="3077B8"/>
          <w:sz w:val="26"/>
        </w:rPr>
        <w:t xml:space="preserve"> (25 мг) плюс два раза в день дозируемый </w:t>
      </w:r>
      <w:r w:rsidRPr="00D32325">
        <w:rPr>
          <w:rFonts w:ascii="Calibri" w:eastAsia="Calibri" w:hAnsi="Calibri" w:cs="Calibri"/>
          <w:b/>
          <w:color w:val="3077B8"/>
          <w:sz w:val="26"/>
          <w:lang w:val="en-US"/>
        </w:rPr>
        <w:t>dasabuvir</w:t>
      </w:r>
      <w:r w:rsidRPr="0040783B">
        <w:rPr>
          <w:rFonts w:ascii="Calibri" w:eastAsia="Calibri" w:hAnsi="Calibri" w:cs="Calibri"/>
          <w:b/>
          <w:color w:val="3077B8"/>
          <w:sz w:val="26"/>
        </w:rPr>
        <w:t xml:space="preserve"> (250 мг) и основанный на весе </w:t>
      </w:r>
      <w:r w:rsidRPr="00D32325">
        <w:rPr>
          <w:rFonts w:ascii="Calibri" w:eastAsia="Calibri" w:hAnsi="Calibri" w:cs="Calibri"/>
          <w:b/>
          <w:color w:val="3077B8"/>
          <w:sz w:val="26"/>
          <w:lang w:val="en-US"/>
        </w:rPr>
        <w:t>RBV</w:t>
      </w:r>
      <w:r w:rsidRPr="0040783B">
        <w:rPr>
          <w:rFonts w:ascii="Calibri" w:eastAsia="Calibri" w:hAnsi="Calibri" w:cs="Calibri"/>
          <w:b/>
          <w:color w:val="3077B8"/>
          <w:sz w:val="26"/>
        </w:rPr>
        <w:t xml:space="preserve"> в течение 12 недель (никакой цирроз) или 24 недель (цирроз) рекомендуется для наивных лечением пациентов с генотипом </w:t>
      </w:r>
      <w:r w:rsidRPr="00D32325">
        <w:rPr>
          <w:rFonts w:ascii="Calibri" w:eastAsia="Calibri" w:hAnsi="Calibri" w:cs="Calibri"/>
          <w:b/>
          <w:color w:val="3077B8"/>
          <w:sz w:val="26"/>
          <w:lang w:val="en-US"/>
        </w:rPr>
        <w:t>HCV</w:t>
      </w:r>
      <w:r w:rsidRPr="0040783B">
        <w:rPr>
          <w:rFonts w:ascii="Calibri" w:eastAsia="Calibri" w:hAnsi="Calibri" w:cs="Calibri"/>
          <w:b/>
          <w:color w:val="3077B8"/>
          <w:sz w:val="26"/>
        </w:rPr>
        <w:t xml:space="preserve"> 1</w:t>
      </w:r>
      <w:r w:rsidRPr="00D32325">
        <w:rPr>
          <w:rFonts w:ascii="Calibri" w:eastAsia="Calibri" w:hAnsi="Calibri" w:cs="Calibri"/>
          <w:b/>
          <w:color w:val="3077B8"/>
          <w:sz w:val="26"/>
          <w:lang w:val="en-US"/>
        </w:rPr>
        <w:t>a</w:t>
      </w:r>
      <w:r w:rsidRPr="0040783B">
        <w:rPr>
          <w:rFonts w:ascii="Calibri" w:eastAsia="Calibri" w:hAnsi="Calibri" w:cs="Calibri"/>
          <w:b/>
          <w:color w:val="3077B8"/>
          <w:sz w:val="26"/>
        </w:rPr>
        <w:t xml:space="preserve"> инфекция.</w:t>
      </w:r>
    </w:p>
    <w:p w:rsidR="0040783B" w:rsidRPr="0040783B" w:rsidRDefault="0040783B" w:rsidP="00E36270">
      <w:pPr>
        <w:pBdr>
          <w:left w:val="single" w:sz="18" w:space="0" w:color="1B6F1B"/>
          <w:bottom w:val="single" w:sz="18" w:space="0" w:color="1B6F1B"/>
          <w:right w:val="single" w:sz="18" w:space="0" w:color="1B6F1B"/>
        </w:pBdr>
        <w:shd w:val="clear" w:color="auto" w:fill="FFFAF6"/>
        <w:spacing w:after="288" w:line="265" w:lineRule="auto"/>
        <w:ind w:left="260" w:right="154"/>
      </w:pPr>
      <w:r w:rsidRPr="0040783B">
        <w:rPr>
          <w:rFonts w:ascii="Calibri" w:eastAsia="Calibri" w:hAnsi="Calibri" w:cs="Calibri"/>
          <w:b/>
        </w:rPr>
        <w:t xml:space="preserve">Рейтинг: </w:t>
      </w:r>
      <w:r w:rsidRPr="0040783B">
        <w:t xml:space="preserve">класс </w:t>
      </w:r>
      <w:r w:rsidRPr="00D32325">
        <w:rPr>
          <w:lang w:val="en-US"/>
        </w:rPr>
        <w:t>I</w:t>
      </w:r>
      <w:r w:rsidRPr="0040783B">
        <w:t xml:space="preserve">, уровень </w:t>
      </w:r>
      <w:r w:rsidRPr="00D32325">
        <w:rPr>
          <w:lang w:val="en-US"/>
        </w:rPr>
        <w:t>A</w:t>
      </w:r>
    </w:p>
    <w:p w:rsidR="0040783B" w:rsidRPr="0040783B" w:rsidRDefault="0040783B" w:rsidP="00E36270">
      <w:pPr>
        <w:pBdr>
          <w:left w:val="single" w:sz="18" w:space="0" w:color="1B6F1B"/>
          <w:bottom w:val="single" w:sz="18" w:space="0" w:color="1B6F1B"/>
          <w:right w:val="single" w:sz="18" w:space="0" w:color="1B6F1B"/>
        </w:pBdr>
        <w:shd w:val="clear" w:color="auto" w:fill="FFFAF6"/>
        <w:spacing w:after="202" w:line="261" w:lineRule="auto"/>
        <w:ind w:left="250" w:right="154"/>
      </w:pPr>
      <w:r w:rsidRPr="0040783B">
        <w:rPr>
          <w:rFonts w:ascii="Calibri" w:eastAsia="Calibri" w:hAnsi="Calibri" w:cs="Calibri"/>
          <w:b/>
          <w:color w:val="3077B8"/>
          <w:sz w:val="26"/>
        </w:rPr>
        <w:t xml:space="preserve">Ежедневный </w:t>
      </w:r>
      <w:r w:rsidRPr="00D32325">
        <w:rPr>
          <w:rFonts w:ascii="Calibri" w:eastAsia="Calibri" w:hAnsi="Calibri" w:cs="Calibri"/>
          <w:b/>
          <w:color w:val="3077B8"/>
          <w:sz w:val="26"/>
          <w:lang w:val="en-US"/>
        </w:rPr>
        <w:t>simeprevir</w:t>
      </w:r>
      <w:r w:rsidRPr="0040783B">
        <w:rPr>
          <w:rFonts w:ascii="Calibri" w:eastAsia="Calibri" w:hAnsi="Calibri" w:cs="Calibri"/>
          <w:b/>
          <w:color w:val="3077B8"/>
          <w:sz w:val="26"/>
        </w:rPr>
        <w:t xml:space="preserve"> (150 мг) и </w:t>
      </w:r>
      <w:r w:rsidRPr="00D32325">
        <w:rPr>
          <w:rFonts w:ascii="Calibri" w:eastAsia="Calibri" w:hAnsi="Calibri" w:cs="Calibri"/>
          <w:b/>
          <w:color w:val="3077B8"/>
          <w:sz w:val="26"/>
          <w:lang w:val="en-US"/>
        </w:rPr>
        <w:t>sofosbuvir</w:t>
      </w:r>
      <w:r w:rsidRPr="0040783B">
        <w:rPr>
          <w:rFonts w:ascii="Calibri" w:eastAsia="Calibri" w:hAnsi="Calibri" w:cs="Calibri"/>
          <w:b/>
          <w:color w:val="3077B8"/>
          <w:sz w:val="26"/>
        </w:rPr>
        <w:t xml:space="preserve"> (400 мг) в течение 12 недель (никакой цирроз) или 24 недель (цирроз без полиморфизма </w:t>
      </w:r>
      <w:r w:rsidRPr="00D32325">
        <w:rPr>
          <w:rFonts w:ascii="Calibri" w:eastAsia="Calibri" w:hAnsi="Calibri" w:cs="Calibri"/>
          <w:b/>
          <w:color w:val="3077B8"/>
          <w:sz w:val="26"/>
          <w:lang w:val="en-US"/>
        </w:rPr>
        <w:t>Q</w:t>
      </w:r>
      <w:r w:rsidRPr="0040783B">
        <w:rPr>
          <w:rFonts w:ascii="Calibri" w:eastAsia="Calibri" w:hAnsi="Calibri" w:cs="Calibri"/>
          <w:b/>
          <w:color w:val="3077B8"/>
          <w:sz w:val="26"/>
        </w:rPr>
        <w:t>80</w:t>
      </w:r>
      <w:r w:rsidRPr="00D32325">
        <w:rPr>
          <w:rFonts w:ascii="Calibri" w:eastAsia="Calibri" w:hAnsi="Calibri" w:cs="Calibri"/>
          <w:b/>
          <w:color w:val="3077B8"/>
          <w:sz w:val="26"/>
          <w:lang w:val="en-US"/>
        </w:rPr>
        <w:t>K</w:t>
      </w:r>
      <w:r w:rsidRPr="0040783B">
        <w:rPr>
          <w:rFonts w:ascii="Calibri" w:eastAsia="Calibri" w:hAnsi="Calibri" w:cs="Calibri"/>
          <w:b/>
          <w:color w:val="3077B8"/>
          <w:sz w:val="26"/>
        </w:rPr>
        <w:t xml:space="preserve">) с или без основанного на весе </w:t>
      </w:r>
      <w:r w:rsidRPr="00D32325">
        <w:rPr>
          <w:rFonts w:ascii="Calibri" w:eastAsia="Calibri" w:hAnsi="Calibri" w:cs="Calibri"/>
          <w:b/>
          <w:color w:val="3077B8"/>
          <w:sz w:val="26"/>
          <w:lang w:val="en-US"/>
        </w:rPr>
        <w:t>RBV</w:t>
      </w:r>
      <w:r w:rsidRPr="0040783B">
        <w:rPr>
          <w:rFonts w:ascii="Calibri" w:eastAsia="Calibri" w:hAnsi="Calibri" w:cs="Calibri"/>
          <w:b/>
          <w:color w:val="3077B8"/>
          <w:sz w:val="26"/>
        </w:rPr>
        <w:t xml:space="preserve"> рекомендуются для наивных лечением пациентов с генотипом </w:t>
      </w:r>
      <w:r w:rsidRPr="00D32325">
        <w:rPr>
          <w:rFonts w:ascii="Calibri" w:eastAsia="Calibri" w:hAnsi="Calibri" w:cs="Calibri"/>
          <w:b/>
          <w:color w:val="3077B8"/>
          <w:sz w:val="26"/>
          <w:lang w:val="en-US"/>
        </w:rPr>
        <w:t>HCV</w:t>
      </w:r>
      <w:r w:rsidRPr="0040783B">
        <w:rPr>
          <w:rFonts w:ascii="Calibri" w:eastAsia="Calibri" w:hAnsi="Calibri" w:cs="Calibri"/>
          <w:b/>
          <w:color w:val="3077B8"/>
          <w:sz w:val="26"/>
        </w:rPr>
        <w:t xml:space="preserve"> 1</w:t>
      </w:r>
      <w:r w:rsidRPr="00D32325">
        <w:rPr>
          <w:rFonts w:ascii="Calibri" w:eastAsia="Calibri" w:hAnsi="Calibri" w:cs="Calibri"/>
          <w:b/>
          <w:color w:val="3077B8"/>
          <w:sz w:val="26"/>
          <w:lang w:val="en-US"/>
        </w:rPr>
        <w:t>a</w:t>
      </w:r>
      <w:r w:rsidRPr="0040783B">
        <w:rPr>
          <w:rFonts w:ascii="Calibri" w:eastAsia="Calibri" w:hAnsi="Calibri" w:cs="Calibri"/>
          <w:b/>
          <w:color w:val="3077B8"/>
          <w:sz w:val="26"/>
        </w:rPr>
        <w:t xml:space="preserve"> инфекция.</w:t>
      </w:r>
    </w:p>
    <w:p w:rsidR="0040783B" w:rsidRPr="0040783B" w:rsidRDefault="0040783B" w:rsidP="00E36270">
      <w:pPr>
        <w:pBdr>
          <w:left w:val="single" w:sz="18" w:space="0" w:color="1B6F1B"/>
          <w:bottom w:val="single" w:sz="18" w:space="0" w:color="1B6F1B"/>
          <w:right w:val="single" w:sz="18" w:space="0" w:color="1B6F1B"/>
        </w:pBdr>
        <w:shd w:val="clear" w:color="auto" w:fill="FFFAF6"/>
        <w:spacing w:after="243" w:line="265" w:lineRule="auto"/>
        <w:ind w:left="260" w:right="154"/>
      </w:pPr>
      <w:r w:rsidRPr="0040783B">
        <w:rPr>
          <w:rFonts w:ascii="Calibri" w:eastAsia="Calibri" w:hAnsi="Calibri" w:cs="Calibri"/>
          <w:b/>
        </w:rPr>
        <w:t xml:space="preserve">Рейтинг: </w:t>
      </w:r>
      <w:r w:rsidRPr="0040783B">
        <w:t xml:space="preserve">класс </w:t>
      </w:r>
      <w:r w:rsidRPr="00D32325">
        <w:rPr>
          <w:lang w:val="en-US"/>
        </w:rPr>
        <w:t>I</w:t>
      </w:r>
      <w:r w:rsidRPr="0040783B">
        <w:t xml:space="preserve">, уровень </w:t>
      </w:r>
      <w:r w:rsidRPr="00D32325">
        <w:rPr>
          <w:lang w:val="en-US"/>
        </w:rPr>
        <w:t>A</w:t>
      </w:r>
    </w:p>
    <w:p w:rsidR="0040783B" w:rsidRPr="0040783B" w:rsidRDefault="0040783B" w:rsidP="00E36270">
      <w:pPr>
        <w:pBdr>
          <w:left w:val="single" w:sz="18" w:space="0" w:color="1B6F1B"/>
          <w:bottom w:val="single" w:sz="18" w:space="0" w:color="1B6F1B"/>
          <w:right w:val="single" w:sz="18" w:space="0" w:color="1B6F1B"/>
        </w:pBdr>
        <w:shd w:val="clear" w:color="auto" w:fill="FFFAF6"/>
        <w:spacing w:after="702" w:line="265" w:lineRule="auto"/>
        <w:ind w:left="260" w:right="154"/>
      </w:pPr>
      <w:r w:rsidRPr="0040783B">
        <w:t xml:space="preserve">*Доза </w:t>
      </w:r>
      <w:r w:rsidRPr="00D32325">
        <w:rPr>
          <w:lang w:val="en-US"/>
        </w:rPr>
        <w:t>daclatasvir</w:t>
      </w:r>
      <w:r w:rsidRPr="0040783B">
        <w:t xml:space="preserve">, возможно, должна увеличиться или уменьшиться, когда используется сопутствующе с индукторами </w:t>
      </w:r>
      <w:r w:rsidRPr="00D32325">
        <w:rPr>
          <w:lang w:val="en-US"/>
        </w:rPr>
        <w:t>P</w:t>
      </w:r>
      <w:r w:rsidRPr="0040783B">
        <w:t>450 3</w:t>
      </w:r>
      <w:r w:rsidRPr="00D32325">
        <w:rPr>
          <w:lang w:val="en-US"/>
        </w:rPr>
        <w:t>A</w:t>
      </w:r>
      <w:r w:rsidRPr="0040783B">
        <w:t xml:space="preserve">/4 цитохрома и ингибиторами, соответственно. См. информация о предписании и секция на </w:t>
      </w:r>
      <w:hyperlink r:id="rId19">
        <w:r w:rsidRPr="0040783B">
          <w:rPr>
            <w:rFonts w:ascii="Calibri" w:eastAsia="Calibri" w:hAnsi="Calibri" w:cs="Calibri"/>
            <w:b/>
            <w:color w:val="0000FF"/>
            <w:u w:val="single" w:color="0000FF"/>
          </w:rPr>
          <w:t xml:space="preserve">коинфекции </w:t>
        </w:r>
        <w:r w:rsidRPr="00D32325">
          <w:rPr>
            <w:rFonts w:ascii="Calibri" w:eastAsia="Calibri" w:hAnsi="Calibri" w:cs="Calibri"/>
            <w:b/>
            <w:color w:val="0000FF"/>
            <w:u w:val="single" w:color="0000FF"/>
            <w:lang w:val="en-US"/>
          </w:rPr>
          <w:t>HIV</w:t>
        </w:r>
        <w:r w:rsidRPr="0040783B">
          <w:rPr>
            <w:rFonts w:ascii="Calibri" w:eastAsia="Calibri" w:hAnsi="Calibri" w:cs="Calibri"/>
            <w:b/>
            <w:color w:val="0000FF"/>
            <w:u w:val="single" w:color="0000FF"/>
          </w:rPr>
          <w:t>/</w:t>
        </w:r>
        <w:r w:rsidRPr="00D32325">
          <w:rPr>
            <w:rFonts w:ascii="Calibri" w:eastAsia="Calibri" w:hAnsi="Calibri" w:cs="Calibri"/>
            <w:b/>
            <w:color w:val="0000FF"/>
            <w:u w:val="single" w:color="0000FF"/>
            <w:lang w:val="en-US"/>
          </w:rPr>
          <w:t>HCV</w:t>
        </w:r>
      </w:hyperlink>
      <w:r w:rsidRPr="0040783B">
        <w:rPr>
          <w:rFonts w:ascii="Calibri" w:eastAsia="Calibri" w:hAnsi="Calibri" w:cs="Calibri"/>
          <w:b/>
        </w:rPr>
        <w:t xml:space="preserve"> </w:t>
      </w:r>
      <w:r w:rsidRPr="0040783B">
        <w:rPr>
          <w:rFonts w:ascii="Calibri" w:eastAsia="Calibri" w:hAnsi="Calibri" w:cs="Calibri"/>
          <w:b/>
          <w:sz w:val="15"/>
        </w:rPr>
        <w:t>[11]</w:t>
      </w:r>
      <w:r w:rsidRPr="0040783B">
        <w:t xml:space="preserve"> для пациентов на </w:t>
      </w:r>
      <w:r w:rsidRPr="00D32325">
        <w:rPr>
          <w:lang w:val="en-US"/>
        </w:rPr>
        <w:t>antiretoviral</w:t>
      </w:r>
      <w:r w:rsidRPr="0040783B">
        <w:t xml:space="preserve"> терапии.</w:t>
      </w:r>
    </w:p>
    <w:p w:rsidR="0040783B" w:rsidRPr="0040783B" w:rsidRDefault="0040783B" w:rsidP="00E36270">
      <w:pPr>
        <w:ind w:left="-5" w:right="15"/>
      </w:pPr>
      <w:r w:rsidRPr="0040783B">
        <w:t xml:space="preserve">Для генотипа </w:t>
      </w:r>
      <w:r w:rsidRPr="00D32325">
        <w:rPr>
          <w:lang w:val="en-US"/>
        </w:rPr>
        <w:t>HCV</w:t>
      </w:r>
      <w:r w:rsidRPr="0040783B">
        <w:t xml:space="preserve"> 1</w:t>
      </w:r>
      <w:r w:rsidRPr="00D32325">
        <w:rPr>
          <w:lang w:val="en-US"/>
        </w:rPr>
        <w:t>a</w:t>
      </w:r>
      <w:r w:rsidRPr="0040783B">
        <w:t>–</w:t>
      </w:r>
      <w:r w:rsidRPr="00D32325">
        <w:rPr>
          <w:lang w:val="en-US"/>
        </w:rPr>
        <w:t>infected</w:t>
      </w:r>
      <w:r w:rsidRPr="0040783B">
        <w:t>, наивных лечением пациентов, существует несколько режимов сопоставимой эффективности, как обрисовано в общих чертах выше.</w:t>
      </w:r>
    </w:p>
    <w:p w:rsidR="0040783B" w:rsidRPr="0040783B" w:rsidRDefault="0040783B" w:rsidP="00E36270">
      <w:pPr>
        <w:ind w:left="-5" w:right="15"/>
      </w:pPr>
      <w:r w:rsidRPr="00D32325">
        <w:rPr>
          <w:lang w:val="en-US"/>
        </w:rPr>
        <w:t>Daclatasvir</w:t>
      </w:r>
      <w:r w:rsidRPr="0040783B">
        <w:t xml:space="preserve"> в сочетании с </w:t>
      </w:r>
      <w:r w:rsidRPr="00D32325">
        <w:rPr>
          <w:lang w:val="en-US"/>
        </w:rPr>
        <w:t>sofosbuvir</w:t>
      </w:r>
      <w:r w:rsidRPr="0040783B">
        <w:t xml:space="preserve"> для лечения генотипа </w:t>
      </w:r>
      <w:r w:rsidRPr="00D32325">
        <w:rPr>
          <w:lang w:val="en-US"/>
        </w:rPr>
        <w:t>HCV</w:t>
      </w:r>
      <w:r w:rsidRPr="0040783B">
        <w:t xml:space="preserve">, 1 инфекция может быть рекомендована на основе данных от СОЮЗНИКА фазы </w:t>
      </w:r>
      <w:r w:rsidRPr="00D32325">
        <w:rPr>
          <w:lang w:val="en-US"/>
        </w:rPr>
        <w:t>III</w:t>
      </w:r>
      <w:r w:rsidRPr="0040783B">
        <w:t xml:space="preserve"> 2 испытания, оценившие эффективность и безопасность </w:t>
      </w:r>
      <w:r w:rsidRPr="00D32325">
        <w:rPr>
          <w:lang w:val="en-US"/>
        </w:rPr>
        <w:t>daclatasivr</w:t>
      </w:r>
      <w:r w:rsidRPr="0040783B">
        <w:t xml:space="preserve"> и </w:t>
      </w:r>
      <w:r w:rsidRPr="00D32325">
        <w:rPr>
          <w:lang w:val="en-US"/>
        </w:rPr>
        <w:t>sofosbuvir</w:t>
      </w:r>
      <w:r w:rsidRPr="0040783B">
        <w:t xml:space="preserve"> в течение 12 недель, у больных коинфицированных с ВИЧ и </w:t>
      </w:r>
      <w:r w:rsidRPr="00D32325">
        <w:rPr>
          <w:lang w:val="en-US"/>
        </w:rPr>
        <w:t>HCV</w:t>
      </w:r>
      <w:r w:rsidRPr="0040783B">
        <w:t xml:space="preserve"> (генотипы 1-4). (</w:t>
      </w:r>
      <w:hyperlink r:id="rId20" w:anchor="wyles2015">
        <w:r w:rsidRPr="00D32325">
          <w:rPr>
            <w:color w:val="0000FF"/>
            <w:u w:val="single" w:color="0000FF"/>
            <w:lang w:val="en-US"/>
          </w:rPr>
          <w:t>Wyles</w:t>
        </w:r>
        <w:r w:rsidRPr="0040783B">
          <w:rPr>
            <w:color w:val="0000FF"/>
            <w:u w:val="single" w:color="0000FF"/>
          </w:rPr>
          <w:t xml:space="preserve">, </w:t>
        </w:r>
      </w:hyperlink>
      <w:hyperlink r:id="rId21" w:anchor="wyles2015">
        <w:r w:rsidRPr="0040783B">
          <w:rPr>
            <w:color w:val="0000FF"/>
            <w:u w:val="single" w:color="0000FF"/>
          </w:rPr>
          <w:t>2015 [12]</w:t>
        </w:r>
      </w:hyperlink>
      <w:r w:rsidRPr="0040783B">
        <w:t xml:space="preserve">), Сто двадцать три (83%-х) пациента, получающие 12 недель терапии в испытании, были заражены генотипом </w:t>
      </w:r>
      <w:r w:rsidRPr="00D32325">
        <w:rPr>
          <w:lang w:val="en-US"/>
        </w:rPr>
        <w:t>HCV</w:t>
      </w:r>
      <w:r w:rsidRPr="0040783B">
        <w:t xml:space="preserve"> 1. Восемьдесят три (54%) этих пациентов было наивное лечение. Темп длительной вирусологической реакции (</w:t>
      </w:r>
      <w:r w:rsidRPr="00D32325">
        <w:rPr>
          <w:lang w:val="en-US"/>
        </w:rPr>
        <w:t>SVR</w:t>
      </w:r>
      <w:r w:rsidRPr="0040783B">
        <w:t xml:space="preserve">) составлял 96% в наивных лечением пациентах с генотипом </w:t>
      </w:r>
      <w:r w:rsidRPr="00D32325">
        <w:rPr>
          <w:lang w:val="en-US"/>
        </w:rPr>
        <w:t>HCV</w:t>
      </w:r>
      <w:r w:rsidRPr="0040783B">
        <w:t xml:space="preserve"> 1</w:t>
      </w:r>
      <w:r w:rsidRPr="00D32325">
        <w:rPr>
          <w:lang w:val="en-US"/>
        </w:rPr>
        <w:t>a</w:t>
      </w:r>
      <w:r w:rsidRPr="0040783B">
        <w:t xml:space="preserve"> инфекция (</w:t>
      </w:r>
      <w:r w:rsidRPr="00D32325">
        <w:rPr>
          <w:lang w:val="en-US"/>
        </w:rPr>
        <w:t>n</w:t>
      </w:r>
      <w:r w:rsidRPr="0040783B">
        <w:t xml:space="preserve">=71) получение 12 недель терапии. Однако только у 9 наивных лечением пациентов был цирроз. Точно так же в фазе исследование </w:t>
      </w:r>
      <w:r w:rsidRPr="00D32325">
        <w:rPr>
          <w:lang w:val="en-US"/>
        </w:rPr>
        <w:t>IIb</w:t>
      </w:r>
      <w:r w:rsidRPr="0040783B">
        <w:t xml:space="preserve"> </w:t>
      </w:r>
      <w:r w:rsidRPr="00D32325">
        <w:rPr>
          <w:lang w:val="en-US"/>
        </w:rPr>
        <w:t>daclatasvir</w:t>
      </w:r>
      <w:r w:rsidRPr="0040783B">
        <w:t xml:space="preserve"> и </w:t>
      </w:r>
      <w:r w:rsidRPr="00D32325">
        <w:rPr>
          <w:lang w:val="en-US"/>
        </w:rPr>
        <w:t>sofosbuvir</w:t>
      </w:r>
      <w:r w:rsidRPr="0040783B">
        <w:t xml:space="preserve"> (</w:t>
      </w:r>
      <w:r w:rsidRPr="00D32325">
        <w:rPr>
          <w:lang w:val="en-US"/>
        </w:rPr>
        <w:t>A</w:t>
      </w:r>
      <w:r w:rsidRPr="0040783B">
        <w:t xml:space="preserve">1444040) в 88 наивных лечением пациентах с генотипом </w:t>
      </w:r>
      <w:r w:rsidRPr="00D32325">
        <w:rPr>
          <w:lang w:val="en-US"/>
        </w:rPr>
        <w:t>HCV</w:t>
      </w:r>
      <w:r w:rsidRPr="0040783B">
        <w:t xml:space="preserve"> 1</w:t>
      </w:r>
      <w:r w:rsidRPr="00D32325">
        <w:rPr>
          <w:lang w:val="en-US"/>
        </w:rPr>
        <w:t>a</w:t>
      </w:r>
      <w:r w:rsidRPr="0040783B">
        <w:t xml:space="preserve"> инфекция, 21 лечились в течение 24 недель (11 с </w:t>
      </w:r>
      <w:r w:rsidRPr="00D32325">
        <w:rPr>
          <w:lang w:val="en-US"/>
        </w:rPr>
        <w:t>RBV</w:t>
      </w:r>
      <w:r w:rsidRPr="0040783B">
        <w:t xml:space="preserve">), и 67 лечились в течение 12 недель (33 с </w:t>
      </w:r>
      <w:r w:rsidRPr="00D32325">
        <w:rPr>
          <w:lang w:val="en-US"/>
        </w:rPr>
        <w:t>RBV</w:t>
      </w:r>
      <w:r w:rsidRPr="0040783B">
        <w:t>), и не было никаких вирусологических рецидивов. Однако было только 14 пациентов с циррозом в 12-недельных и 24-недельных руках исследования. (</w:t>
      </w:r>
      <w:hyperlink r:id="rId22" w:anchor="sulkowski2014">
        <w:r w:rsidRPr="0040783B">
          <w:rPr>
            <w:color w:val="0000FF"/>
            <w:u w:val="single" w:color="0000FF"/>
          </w:rPr>
          <w:t>Сульковский, 2014 [13]</w:t>
        </w:r>
      </w:hyperlink>
      <w:r w:rsidRPr="0040783B">
        <w:t xml:space="preserve">), поскольку пациенты с циррозом были не адекватно представлены в этих исследованиях, оптимальной продолжительности лечения для пациентов с циррозом, остается неясным. Когортные исследования сострадательной программы использования в Европе предполагают, что пациенты с циррозом могут извлечь выгоду из вытяжения терапии с </w:t>
      </w:r>
      <w:r w:rsidRPr="00D32325">
        <w:rPr>
          <w:lang w:val="en-US"/>
        </w:rPr>
        <w:t>daclatasvir</w:t>
      </w:r>
      <w:r w:rsidRPr="0040783B">
        <w:t xml:space="preserve"> и </w:t>
      </w:r>
      <w:r w:rsidRPr="00D32325">
        <w:rPr>
          <w:lang w:val="en-US"/>
        </w:rPr>
        <w:t>sofosbuvir</w:t>
      </w:r>
      <w:r w:rsidRPr="0040783B">
        <w:t xml:space="preserve"> к 24 неделям, с или без </w:t>
      </w:r>
      <w:r w:rsidRPr="00D32325">
        <w:rPr>
          <w:lang w:val="en-US"/>
        </w:rPr>
        <w:t>RBV</w:t>
      </w:r>
      <w:r w:rsidRPr="0040783B">
        <w:t>. (</w:t>
      </w:r>
      <w:hyperlink r:id="rId23" w:anchor="welzel2015">
        <w:r w:rsidRPr="00D32325">
          <w:rPr>
            <w:color w:val="0000FF"/>
            <w:u w:val="single" w:color="0000FF"/>
            <w:lang w:val="en-US"/>
          </w:rPr>
          <w:t>Welzel</w:t>
        </w:r>
        <w:r w:rsidRPr="0040783B">
          <w:rPr>
            <w:color w:val="0000FF"/>
            <w:u w:val="single" w:color="0000FF"/>
          </w:rPr>
          <w:t>, 2015 [14]</w:t>
        </w:r>
      </w:hyperlink>
      <w:r w:rsidRPr="0040783B">
        <w:t>); (</w:t>
      </w:r>
      <w:hyperlink r:id="rId24" w:anchor="deledinghen2015">
        <w:r w:rsidRPr="0040783B">
          <w:rPr>
            <w:color w:val="0000FF"/>
            <w:u w:val="single" w:color="0000FF"/>
          </w:rPr>
          <w:t>де Леденгхан, 2015 [15]</w:t>
        </w:r>
      </w:hyperlink>
      <w:r w:rsidRPr="0040783B">
        <w:t xml:space="preserve">), СОЮЗНИК фазы </w:t>
      </w:r>
      <w:r w:rsidRPr="00D32325">
        <w:rPr>
          <w:lang w:val="en-US"/>
        </w:rPr>
        <w:t>III</w:t>
      </w:r>
      <w:r w:rsidRPr="0040783B">
        <w:t xml:space="preserve"> 1 испытание исследовало </w:t>
      </w:r>
      <w:r w:rsidRPr="00D32325">
        <w:rPr>
          <w:lang w:val="en-US"/>
        </w:rPr>
        <w:t>daclatasvir</w:t>
      </w:r>
      <w:r w:rsidRPr="0040783B">
        <w:t xml:space="preserve"> и </w:t>
      </w:r>
      <w:r w:rsidRPr="00D32325">
        <w:rPr>
          <w:lang w:val="en-US"/>
        </w:rPr>
        <w:t>sofosbuvir</w:t>
      </w:r>
      <w:r w:rsidRPr="0040783B">
        <w:t xml:space="preserve"> с </w:t>
      </w:r>
      <w:r w:rsidRPr="00D32325">
        <w:rPr>
          <w:lang w:val="en-US"/>
        </w:rPr>
        <w:t>RBV</w:t>
      </w:r>
      <w:r w:rsidRPr="0040783B">
        <w:t xml:space="preserve"> (начальная доза 600 мг, затем титрованных) в 60 пациентах с прогрессирующим циррозом. (</w:t>
      </w:r>
      <w:hyperlink r:id="rId25" w:anchor="poordad2015">
        <w:r w:rsidRPr="00D32325">
          <w:rPr>
            <w:color w:val="0000FF"/>
            <w:u w:val="single" w:color="0000FF"/>
            <w:lang w:val="en-US"/>
          </w:rPr>
          <w:t>Poordad</w:t>
        </w:r>
        <w:r w:rsidRPr="0040783B">
          <w:rPr>
            <w:color w:val="0000FF"/>
            <w:u w:val="single" w:color="0000FF"/>
          </w:rPr>
          <w:t>, 2015 [16]</w:t>
        </w:r>
      </w:hyperlink>
      <w:r w:rsidRPr="0040783B">
        <w:t xml:space="preserve">), Только 76% пациентов с генотипом </w:t>
      </w:r>
      <w:r w:rsidRPr="00D32325">
        <w:rPr>
          <w:lang w:val="en-US"/>
        </w:rPr>
        <w:t>HCV</w:t>
      </w:r>
      <w:r w:rsidRPr="0040783B">
        <w:t xml:space="preserve"> 1 А (</w:t>
      </w:r>
      <w:r w:rsidRPr="00D32325">
        <w:rPr>
          <w:lang w:val="en-US"/>
        </w:rPr>
        <w:t>n</w:t>
      </w:r>
      <w:r w:rsidRPr="0040783B">
        <w:t xml:space="preserve">=34) и 100% пациентов с генотипом </w:t>
      </w:r>
      <w:r w:rsidRPr="00D32325">
        <w:rPr>
          <w:lang w:val="en-US"/>
        </w:rPr>
        <w:t>HCV</w:t>
      </w:r>
      <w:r w:rsidRPr="0040783B">
        <w:t xml:space="preserve"> 1</w:t>
      </w:r>
      <w:r w:rsidRPr="00D32325">
        <w:rPr>
          <w:lang w:val="en-US"/>
        </w:rPr>
        <w:t>B</w:t>
      </w:r>
      <w:r w:rsidRPr="0040783B">
        <w:t xml:space="preserve"> (</w:t>
      </w:r>
      <w:r w:rsidRPr="00D32325">
        <w:rPr>
          <w:lang w:val="en-US"/>
        </w:rPr>
        <w:t>n</w:t>
      </w:r>
      <w:r w:rsidRPr="0040783B">
        <w:t xml:space="preserve">=11) достигли </w:t>
      </w:r>
      <w:r w:rsidRPr="00D32325">
        <w:rPr>
          <w:lang w:val="en-US"/>
        </w:rPr>
        <w:t>SVR</w:t>
      </w:r>
      <w:r w:rsidRPr="0040783B">
        <w:t xml:space="preserve"> в 12 недель (</w:t>
      </w:r>
      <w:r w:rsidRPr="00D32325">
        <w:rPr>
          <w:lang w:val="en-US"/>
        </w:rPr>
        <w:t>SVR</w:t>
      </w:r>
      <w:r w:rsidRPr="0040783B">
        <w:t xml:space="preserve">12). Неясно, сколько неудач лечения было среди наивных лечением пациентов или тех с классом </w:t>
      </w:r>
      <w:r w:rsidRPr="00D32325">
        <w:rPr>
          <w:lang w:val="en-US"/>
        </w:rPr>
        <w:t>CTP</w:t>
      </w:r>
      <w:r w:rsidRPr="0040783B">
        <w:t xml:space="preserve"> циррозом. Необходимо больше данных; однако, вследствие риска появления устойчивости к неструктурному белку 5 А (</w:t>
      </w:r>
      <w:r w:rsidRPr="00D32325">
        <w:rPr>
          <w:lang w:val="en-US"/>
        </w:rPr>
        <w:t>NS</w:t>
      </w:r>
      <w:r w:rsidRPr="0040783B">
        <w:t>5</w:t>
      </w:r>
      <w:r w:rsidRPr="00D32325">
        <w:rPr>
          <w:lang w:val="en-US"/>
        </w:rPr>
        <w:t>A</w:t>
      </w:r>
      <w:r w:rsidRPr="0040783B">
        <w:t xml:space="preserve">) лечение ингибитора во время неудачи, продлевая лечение к 24 неделям для всех пациентов с генотипом </w:t>
      </w:r>
      <w:r w:rsidRPr="00D32325">
        <w:rPr>
          <w:lang w:val="en-US"/>
        </w:rPr>
        <w:t>HCV</w:t>
      </w:r>
      <w:r w:rsidRPr="0040783B">
        <w:t xml:space="preserve"> 1</w:t>
      </w:r>
      <w:r w:rsidRPr="00D32325">
        <w:rPr>
          <w:lang w:val="en-US"/>
        </w:rPr>
        <w:t>a</w:t>
      </w:r>
      <w:r w:rsidRPr="0040783B">
        <w:t xml:space="preserve"> инфекция и цирроз рекомендуются, и добавление </w:t>
      </w:r>
      <w:r w:rsidRPr="00D32325">
        <w:rPr>
          <w:lang w:val="en-US"/>
        </w:rPr>
        <w:t>RBV</w:t>
      </w:r>
      <w:r w:rsidRPr="0040783B">
        <w:t xml:space="preserve"> можно рассмотреть. У больных с благоприятными особенностями, 12-недельный курс лечения, включающий основанный на весе </w:t>
      </w:r>
      <w:r w:rsidRPr="00D32325">
        <w:rPr>
          <w:lang w:val="en-US"/>
        </w:rPr>
        <w:t>RBV</w:t>
      </w:r>
      <w:r w:rsidRPr="0040783B">
        <w:t xml:space="preserve"> (1</w:t>
      </w:r>
      <w:r w:rsidRPr="00D32325">
        <w:rPr>
          <w:lang w:val="en-US"/>
        </w:rPr>
        <w:t> </w:t>
      </w:r>
      <w:r w:rsidRPr="0040783B">
        <w:t>000 мг [&lt;75 кг] к 1</w:t>
      </w:r>
      <w:r w:rsidRPr="00D32325">
        <w:rPr>
          <w:lang w:val="en-US"/>
        </w:rPr>
        <w:t> </w:t>
      </w:r>
      <w:r w:rsidRPr="0040783B">
        <w:t>200 мг [</w:t>
      </w:r>
      <w:r w:rsidRPr="0040783B">
        <w:rPr>
          <w:u w:val="single" w:color="000000"/>
        </w:rPr>
        <w:t>&gt;</w:t>
      </w:r>
      <w:r>
        <w:t xml:space="preserve"> </w:t>
      </w:r>
      <w:r w:rsidRPr="0040783B">
        <w:t>75 кг]) могут рассмотреть, но поддерживают ограниченные данные.</w:t>
      </w:r>
    </w:p>
    <w:p w:rsidR="0040783B" w:rsidRPr="0040783B" w:rsidRDefault="0040783B" w:rsidP="00E36270">
      <w:pPr>
        <w:spacing w:after="0"/>
        <w:ind w:left="-5" w:right="15"/>
      </w:pPr>
      <w:r w:rsidRPr="00D32325">
        <w:rPr>
          <w:lang w:val="en-US"/>
        </w:rPr>
        <w:t>Ledipasvir</w:t>
      </w:r>
      <w:r w:rsidRPr="0040783B">
        <w:t>/</w:t>
      </w:r>
      <w:r w:rsidRPr="00D32325">
        <w:rPr>
          <w:lang w:val="en-US"/>
        </w:rPr>
        <w:t>sofosbuvir</w:t>
      </w:r>
      <w:r w:rsidRPr="0040783B">
        <w:t xml:space="preserve"> был одобрен </w:t>
      </w:r>
      <w:r w:rsidRPr="00D32325">
        <w:rPr>
          <w:lang w:val="en-US"/>
        </w:rPr>
        <w:t>FDA</w:t>
      </w:r>
      <w:r w:rsidRPr="0040783B">
        <w:t xml:space="preserve"> для лечения генотипа </w:t>
      </w:r>
      <w:r w:rsidRPr="00D32325">
        <w:rPr>
          <w:lang w:val="en-US"/>
        </w:rPr>
        <w:t>HCV</w:t>
      </w:r>
      <w:r w:rsidRPr="0040783B">
        <w:t xml:space="preserve"> 1 инфекция в наивных лечением пациентах на основе 2 регистрационных испытаний: ИОН 1 (865 наивных лечением пациентов; те с циррозом были включены) и ИОН 3 (647 наивных лечением пациентов; те с циррозом были исключены).</w:t>
      </w:r>
    </w:p>
    <w:p w:rsidR="0040783B" w:rsidRPr="0040783B" w:rsidRDefault="0040783B" w:rsidP="00E36270">
      <w:pPr>
        <w:ind w:left="-5" w:right="15"/>
      </w:pPr>
      <w:r w:rsidRPr="0040783B">
        <w:t xml:space="preserve">ИОН 1 исследованная продолжительность лечения (12 недель по сравнению с 24 неделями) и потребность в </w:t>
      </w:r>
      <w:r w:rsidRPr="00D32325">
        <w:rPr>
          <w:lang w:val="en-US"/>
        </w:rPr>
        <w:t>RBV</w:t>
      </w:r>
      <w:r w:rsidRPr="0040783B">
        <w:t>. (</w:t>
      </w:r>
      <w:hyperlink r:id="rId26" w:anchor="afdhal2014a">
        <w:r w:rsidRPr="00D32325">
          <w:rPr>
            <w:color w:val="0000FF"/>
            <w:u w:val="single" w:color="0000FF"/>
            <w:lang w:val="en-US"/>
          </w:rPr>
          <w:t>Afdhal</w:t>
        </w:r>
        <w:r w:rsidRPr="0040783B">
          <w:rPr>
            <w:color w:val="0000FF"/>
            <w:u w:val="single" w:color="0000FF"/>
          </w:rPr>
          <w:t>, 2014</w:t>
        </w:r>
        <w:r w:rsidRPr="00D32325">
          <w:rPr>
            <w:color w:val="0000FF"/>
            <w:u w:val="single" w:color="0000FF"/>
            <w:lang w:val="en-US"/>
          </w:rPr>
          <w:t>a</w:t>
        </w:r>
      </w:hyperlink>
      <w:r w:rsidRPr="0040783B">
        <w:t xml:space="preserve"> </w:t>
      </w:r>
      <w:r w:rsidRPr="0040783B">
        <w:rPr>
          <w:sz w:val="15"/>
        </w:rPr>
        <w:t>[17]</w:t>
      </w:r>
      <w:r w:rsidRPr="0040783B">
        <w:t xml:space="preserve">), уровень </w:t>
      </w:r>
      <w:r w:rsidRPr="00D32325">
        <w:rPr>
          <w:lang w:val="en-US"/>
        </w:rPr>
        <w:t>SVR</w:t>
      </w:r>
      <w:r w:rsidRPr="0040783B">
        <w:t xml:space="preserve"> в 12 недель (</w:t>
      </w:r>
      <w:r w:rsidRPr="00D32325">
        <w:rPr>
          <w:lang w:val="en-US"/>
        </w:rPr>
        <w:t>SVR</w:t>
      </w:r>
      <w:r w:rsidRPr="0040783B">
        <w:t xml:space="preserve">12) составлял 97% к 99% через все руки, без различия в </w:t>
      </w:r>
      <w:r w:rsidRPr="00D32325">
        <w:rPr>
          <w:lang w:val="en-US"/>
        </w:rPr>
        <w:t>SVR</w:t>
      </w:r>
      <w:r w:rsidRPr="0040783B">
        <w:t xml:space="preserve"> на основе продолжительности лечения, использования </w:t>
      </w:r>
      <w:r w:rsidRPr="00D32325">
        <w:rPr>
          <w:lang w:val="en-US"/>
        </w:rPr>
        <w:t>RBV</w:t>
      </w:r>
      <w:r w:rsidRPr="0040783B">
        <w:t xml:space="preserve"> или генотипа </w:t>
      </w:r>
      <w:r w:rsidRPr="00D32325">
        <w:rPr>
          <w:lang w:val="en-US"/>
        </w:rPr>
        <w:t>HCV</w:t>
      </w:r>
      <w:r w:rsidRPr="0040783B">
        <w:t xml:space="preserve"> 1 подтип. Шестнадцать процентов зарегистрированных предметов были отнесены как наличие цирроза. Не было никакого различия в уровне </w:t>
      </w:r>
      <w:r w:rsidRPr="00D32325">
        <w:rPr>
          <w:lang w:val="en-US"/>
        </w:rPr>
        <w:t>SVR</w:t>
      </w:r>
      <w:r w:rsidRPr="0040783B">
        <w:t xml:space="preserve">12 в тех с циррозом (97%) по сравнению с теми без цирроза (98%). ИОН 3 исключенных пациента с циррозом и исследованной сокращающейся терапией от 12 недель до 8 недель (с или без </w:t>
      </w:r>
      <w:r w:rsidRPr="00D32325">
        <w:rPr>
          <w:lang w:val="en-US"/>
        </w:rPr>
        <w:t>RBV</w:t>
      </w:r>
      <w:r w:rsidRPr="0040783B">
        <w:t>). (</w:t>
      </w:r>
      <w:hyperlink r:id="rId27" w:anchor="kowdley2014">
        <w:r w:rsidRPr="00D32325">
          <w:rPr>
            <w:color w:val="0000FF"/>
            <w:u w:val="single" w:color="0000FF"/>
            <w:lang w:val="en-US"/>
          </w:rPr>
          <w:t>Kowdley</w:t>
        </w:r>
        <w:r w:rsidRPr="0040783B">
          <w:rPr>
            <w:color w:val="0000FF"/>
            <w:u w:val="single" w:color="0000FF"/>
          </w:rPr>
          <w:t>, 2014 [18]</w:t>
        </w:r>
      </w:hyperlink>
      <w:r w:rsidRPr="0040783B">
        <w:t xml:space="preserve">), уровень </w:t>
      </w:r>
      <w:r w:rsidRPr="00D32325">
        <w:rPr>
          <w:lang w:val="en-US"/>
        </w:rPr>
        <w:t>SVR</w:t>
      </w:r>
      <w:r w:rsidRPr="0040783B">
        <w:t xml:space="preserve">12 составлял 93% к 95% через все руки без различия в </w:t>
      </w:r>
      <w:r w:rsidRPr="00D32325">
        <w:rPr>
          <w:lang w:val="en-US"/>
        </w:rPr>
        <w:t>SVR</w:t>
      </w:r>
      <w:r w:rsidRPr="0040783B">
        <w:t xml:space="preserve"> в анализе намерения к удовольствию. Однако ставки рецидива были выше в 8-недельных руках (20 из 431) независимо от использования </w:t>
      </w:r>
      <w:r w:rsidRPr="00D32325">
        <w:rPr>
          <w:lang w:val="en-US"/>
        </w:rPr>
        <w:t>RBV</w:t>
      </w:r>
      <w:r w:rsidRPr="0040783B">
        <w:t xml:space="preserve"> по сравнению с 12-недельной рукой (3 из 216). Апостериорные исследования 2 </w:t>
      </w:r>
      <w:r w:rsidRPr="00D32325">
        <w:rPr>
          <w:lang w:val="en-US"/>
        </w:rPr>
        <w:t>RBV</w:t>
      </w:r>
      <w:r w:rsidRPr="0040783B">
        <w:t xml:space="preserve">-свободных рук оценили начальные показатели рецидива и идентифицировали более низкие показатели рецидива, у больных получающие 8 недель </w:t>
      </w:r>
      <w:r w:rsidRPr="00D32325">
        <w:rPr>
          <w:lang w:val="en-US"/>
        </w:rPr>
        <w:t>ledipasvir</w:t>
      </w:r>
      <w:r w:rsidRPr="0040783B">
        <w:t>/</w:t>
      </w:r>
      <w:r w:rsidRPr="00D32325">
        <w:rPr>
          <w:lang w:val="en-US"/>
        </w:rPr>
        <w:t>sofosbuvir</w:t>
      </w:r>
      <w:r w:rsidRPr="0040783B">
        <w:t xml:space="preserve">, у кого были начальные уровни РНК </w:t>
      </w:r>
      <w:r w:rsidRPr="00D32325">
        <w:rPr>
          <w:lang w:val="en-US"/>
        </w:rPr>
        <w:t>HCV</w:t>
      </w:r>
      <w:r w:rsidRPr="0040783B">
        <w:t xml:space="preserve"> ниже 6 миллионов </w:t>
      </w:r>
      <w:r w:rsidRPr="00D32325">
        <w:rPr>
          <w:lang w:val="en-US"/>
        </w:rPr>
        <w:t>IU</w:t>
      </w:r>
      <w:r w:rsidRPr="0040783B">
        <w:t>/</w:t>
      </w:r>
      <w:r w:rsidRPr="00D32325">
        <w:rPr>
          <w:lang w:val="en-US"/>
        </w:rPr>
        <w:t>mL</w:t>
      </w:r>
      <w:r w:rsidRPr="0040783B">
        <w:t xml:space="preserve"> (2%; 2 из 123), и было то же для пациентов с подобными начальными уровнями РНК </w:t>
      </w:r>
      <w:r w:rsidRPr="00D32325">
        <w:rPr>
          <w:lang w:val="en-US"/>
        </w:rPr>
        <w:t>HCV</w:t>
      </w:r>
      <w:r w:rsidRPr="0040783B">
        <w:t xml:space="preserve">, получивших 12 недель (2%; 2 из 131). Этим анализом не управляли и таким образом существенно ограничивает </w:t>
      </w:r>
      <w:r w:rsidRPr="00D32325">
        <w:rPr>
          <w:lang w:val="en-US"/>
        </w:rPr>
        <w:t>generalizability</w:t>
      </w:r>
      <w:r w:rsidRPr="0040783B">
        <w:t xml:space="preserve"> этого подхода к клинической практике. Укорачивание лечения меньше чем к 12 неделям для пациентов без цирроза должно быть сделано с осторожностью и выполнено на усмотрение практика.</w:t>
      </w:r>
    </w:p>
    <w:p w:rsidR="0040783B" w:rsidRPr="0040783B" w:rsidRDefault="0040783B" w:rsidP="00E36270">
      <w:pPr>
        <w:spacing w:after="0"/>
        <w:ind w:left="-5" w:right="15"/>
      </w:pPr>
      <w:r w:rsidRPr="00D32325">
        <w:rPr>
          <w:lang w:val="en-US"/>
        </w:rPr>
        <w:t>PrOD</w:t>
      </w:r>
      <w:r w:rsidRPr="0040783B">
        <w:t xml:space="preserve"> плюс основанный на весе </w:t>
      </w:r>
      <w:r w:rsidRPr="00D32325">
        <w:rPr>
          <w:lang w:val="en-US"/>
        </w:rPr>
        <w:t>RBV</w:t>
      </w:r>
      <w:r w:rsidRPr="0040783B">
        <w:t xml:space="preserve"> был одобрен </w:t>
      </w:r>
      <w:r w:rsidRPr="00D32325">
        <w:rPr>
          <w:lang w:val="en-US"/>
        </w:rPr>
        <w:t>FDA</w:t>
      </w:r>
      <w:r w:rsidRPr="0040783B">
        <w:t xml:space="preserve"> для лечения генотипа </w:t>
      </w:r>
      <w:r w:rsidRPr="00D32325">
        <w:rPr>
          <w:lang w:val="en-US"/>
        </w:rPr>
        <w:t>HCV</w:t>
      </w:r>
      <w:r w:rsidRPr="0040783B">
        <w:t xml:space="preserve"> 1</w:t>
      </w:r>
      <w:r w:rsidRPr="00D32325">
        <w:rPr>
          <w:lang w:val="en-US"/>
        </w:rPr>
        <w:t>a</w:t>
      </w:r>
      <w:r w:rsidRPr="0040783B">
        <w:t xml:space="preserve"> инфекция в наивных лечением пациентах на основе 3 регистрационных испытаний: САПФИР-</w:t>
      </w:r>
      <w:r w:rsidRPr="00D32325">
        <w:rPr>
          <w:lang w:val="en-US"/>
        </w:rPr>
        <w:t>I</w:t>
      </w:r>
      <w:r w:rsidRPr="0040783B">
        <w:t xml:space="preserve"> (322 наивных лечением пациента с генотипом 1</w:t>
      </w:r>
      <w:r w:rsidRPr="00D32325">
        <w:rPr>
          <w:lang w:val="en-US"/>
        </w:rPr>
        <w:t>a</w:t>
      </w:r>
      <w:r w:rsidRPr="0040783B">
        <w:t xml:space="preserve"> инфекция </w:t>
      </w:r>
      <w:r w:rsidRPr="00D32325">
        <w:rPr>
          <w:lang w:val="en-US"/>
        </w:rPr>
        <w:t>HCV</w:t>
      </w:r>
      <w:r w:rsidRPr="0040783B">
        <w:t xml:space="preserve"> без цирроза), </w:t>
      </w:r>
      <w:r w:rsidRPr="00D32325">
        <w:rPr>
          <w:lang w:val="en-US"/>
        </w:rPr>
        <w:t>PEARL</w:t>
      </w:r>
      <w:r w:rsidRPr="0040783B">
        <w:t xml:space="preserve"> </w:t>
      </w:r>
      <w:r w:rsidRPr="00D32325">
        <w:rPr>
          <w:lang w:val="en-US"/>
        </w:rPr>
        <w:t>IV</w:t>
      </w:r>
      <w:r w:rsidRPr="0040783B">
        <w:t xml:space="preserve"> (305 наивных лечением пациентов с генотипом 1</w:t>
      </w:r>
      <w:r w:rsidRPr="00D32325">
        <w:rPr>
          <w:lang w:val="en-US"/>
        </w:rPr>
        <w:t>a</w:t>
      </w:r>
      <w:r w:rsidRPr="0040783B">
        <w:t xml:space="preserve"> без цирроза), и БИРЮЗА-</w:t>
      </w:r>
      <w:r w:rsidRPr="00D32325">
        <w:rPr>
          <w:lang w:val="en-US"/>
        </w:rPr>
        <w:t>II</w:t>
      </w:r>
      <w:r w:rsidRPr="0040783B">
        <w:t xml:space="preserve"> (261 наивный лечением и - испытали пациентов с генотипом </w:t>
      </w:r>
      <w:r w:rsidRPr="00D32325">
        <w:rPr>
          <w:lang w:val="en-US"/>
        </w:rPr>
        <w:t>HCV</w:t>
      </w:r>
    </w:p>
    <w:p w:rsidR="0040783B" w:rsidRPr="0040783B" w:rsidRDefault="0040783B" w:rsidP="00E36270">
      <w:pPr>
        <w:spacing w:after="3"/>
        <w:ind w:left="-5" w:right="15"/>
      </w:pPr>
      <w:r w:rsidRPr="0040783B">
        <w:t>1</w:t>
      </w:r>
      <w:r w:rsidRPr="00D32325">
        <w:rPr>
          <w:lang w:val="en-US"/>
        </w:rPr>
        <w:t>a</w:t>
      </w:r>
      <w:r w:rsidRPr="0040783B">
        <w:t xml:space="preserve"> и цирроз). Испытание САПФИРА-</w:t>
      </w:r>
      <w:r w:rsidRPr="00D32325">
        <w:rPr>
          <w:lang w:val="en-US"/>
        </w:rPr>
        <w:t>I</w:t>
      </w:r>
      <w:r w:rsidRPr="0040783B">
        <w:t xml:space="preserve"> сообщило о высоком уровне </w:t>
      </w:r>
      <w:r w:rsidRPr="00D32325">
        <w:rPr>
          <w:lang w:val="en-US"/>
        </w:rPr>
        <w:t>SVR</w:t>
      </w:r>
      <w:r w:rsidRPr="0040783B">
        <w:t xml:space="preserve">12 (95,3%) с 12 неделями </w:t>
      </w:r>
      <w:r w:rsidRPr="00D32325">
        <w:rPr>
          <w:lang w:val="en-US"/>
        </w:rPr>
        <w:t>PrOD</w:t>
      </w:r>
      <w:r w:rsidRPr="0040783B">
        <w:t xml:space="preserve"> и </w:t>
      </w:r>
      <w:r w:rsidRPr="00D32325">
        <w:rPr>
          <w:lang w:val="en-US"/>
        </w:rPr>
        <w:t>RBV</w:t>
      </w:r>
      <w:r w:rsidRPr="0040783B">
        <w:t>. (</w:t>
      </w:r>
      <w:hyperlink r:id="rId28" w:anchor="feld2014">
        <w:r w:rsidRPr="0040783B">
          <w:rPr>
            <w:color w:val="0000FF"/>
            <w:u w:val="single" w:color="0000FF"/>
          </w:rPr>
          <w:t>Фелд, 2014 [19]</w:t>
        </w:r>
      </w:hyperlink>
      <w:r w:rsidRPr="0040783B">
        <w:t xml:space="preserve">) В целом, вирусологическая неудача была выше для пациентов с генотипом </w:t>
      </w:r>
      <w:r w:rsidRPr="00D32325">
        <w:rPr>
          <w:lang w:val="en-US"/>
        </w:rPr>
        <w:t>HCV</w:t>
      </w:r>
      <w:r w:rsidRPr="0040783B">
        <w:t xml:space="preserve"> 1</w:t>
      </w:r>
      <w:r w:rsidRPr="00D32325">
        <w:rPr>
          <w:lang w:val="en-US"/>
        </w:rPr>
        <w:t>a</w:t>
      </w:r>
      <w:r w:rsidRPr="0040783B">
        <w:t xml:space="preserve"> (7 из 8</w:t>
      </w:r>
    </w:p>
    <w:p w:rsidR="0040783B" w:rsidRPr="0040783B" w:rsidRDefault="0040783B" w:rsidP="00E36270">
      <w:pPr>
        <w:spacing w:after="3"/>
        <w:ind w:left="-5" w:right="15"/>
      </w:pPr>
      <w:r w:rsidRPr="0040783B">
        <w:t>неудачи имели генотип 1</w:t>
      </w:r>
      <w:r w:rsidRPr="00D32325">
        <w:rPr>
          <w:lang w:val="en-US"/>
        </w:rPr>
        <w:t>a</w:t>
      </w:r>
      <w:r w:rsidRPr="0040783B">
        <w:t xml:space="preserve">), чем пациенты с генотипом </w:t>
      </w:r>
      <w:r w:rsidRPr="00D32325">
        <w:rPr>
          <w:lang w:val="en-US"/>
        </w:rPr>
        <w:t>HCV</w:t>
      </w:r>
      <w:r w:rsidRPr="0040783B">
        <w:t xml:space="preserve"> 1</w:t>
      </w:r>
      <w:r w:rsidRPr="00D32325">
        <w:rPr>
          <w:lang w:val="en-US"/>
        </w:rPr>
        <w:t>b</w:t>
      </w:r>
      <w:r w:rsidRPr="0040783B">
        <w:t xml:space="preserve"> (1 вирусологическая неудача). </w:t>
      </w:r>
      <w:r w:rsidRPr="00D32325">
        <w:rPr>
          <w:lang w:val="en-US"/>
        </w:rPr>
        <w:t>PEARL</w:t>
      </w:r>
      <w:r w:rsidRPr="0040783B">
        <w:t xml:space="preserve"> </w:t>
      </w:r>
      <w:r w:rsidRPr="00D32325">
        <w:rPr>
          <w:lang w:val="en-US"/>
        </w:rPr>
        <w:t>IV</w:t>
      </w:r>
      <w:r w:rsidRPr="0040783B">
        <w:t xml:space="preserve"> был специально предназначен, чтобы определить роль </w:t>
      </w:r>
      <w:r w:rsidRPr="00D32325">
        <w:rPr>
          <w:lang w:val="en-US"/>
        </w:rPr>
        <w:t>PrOD</w:t>
      </w:r>
      <w:r w:rsidRPr="0040783B">
        <w:t xml:space="preserve"> с или без основанного на весе </w:t>
      </w:r>
      <w:r w:rsidRPr="00D32325">
        <w:rPr>
          <w:lang w:val="en-US"/>
        </w:rPr>
        <w:t>RBV</w:t>
      </w:r>
      <w:r w:rsidRPr="0040783B">
        <w:t xml:space="preserve"> для </w:t>
      </w:r>
      <w:r w:rsidRPr="00D32325">
        <w:rPr>
          <w:lang w:val="en-US"/>
        </w:rPr>
        <w:t>treatmentnaive</w:t>
      </w:r>
      <w:r w:rsidRPr="0040783B">
        <w:t xml:space="preserve">, генотип </w:t>
      </w:r>
      <w:r w:rsidRPr="00D32325">
        <w:rPr>
          <w:lang w:val="en-US"/>
        </w:rPr>
        <w:t>HCV</w:t>
      </w:r>
      <w:r w:rsidRPr="0040783B">
        <w:t xml:space="preserve"> 1</w:t>
      </w:r>
      <w:r w:rsidRPr="00D32325">
        <w:rPr>
          <w:lang w:val="en-US"/>
        </w:rPr>
        <w:t>a</w:t>
      </w:r>
      <w:r w:rsidRPr="0040783B">
        <w:t>–</w:t>
      </w:r>
      <w:r w:rsidRPr="00D32325">
        <w:rPr>
          <w:lang w:val="en-US"/>
        </w:rPr>
        <w:t>infected</w:t>
      </w:r>
      <w:r w:rsidRPr="0040783B">
        <w:t xml:space="preserve"> пациенты без цирроза. (</w:t>
      </w:r>
      <w:hyperlink r:id="rId29" w:anchor="ferenci2014">
        <w:r w:rsidRPr="00D32325">
          <w:rPr>
            <w:color w:val="0000FF"/>
            <w:u w:val="single" w:color="0000FF"/>
            <w:lang w:val="en-US"/>
          </w:rPr>
          <w:t>Ferenci</w:t>
        </w:r>
        <w:r w:rsidRPr="0040783B">
          <w:rPr>
            <w:color w:val="0000FF"/>
            <w:u w:val="single" w:color="0000FF"/>
          </w:rPr>
          <w:t>, 2014 [20]</w:t>
        </w:r>
      </w:hyperlink>
      <w:r w:rsidRPr="0040783B">
        <w:t xml:space="preserve">), </w:t>
      </w:r>
      <w:r w:rsidRPr="00D32325">
        <w:rPr>
          <w:lang w:val="en-US"/>
        </w:rPr>
        <w:t>SVR</w:t>
      </w:r>
      <w:r w:rsidRPr="0040783B">
        <w:t xml:space="preserve">12 был ниже в </w:t>
      </w:r>
      <w:r w:rsidRPr="00D32325">
        <w:rPr>
          <w:lang w:val="en-US"/>
        </w:rPr>
        <w:t>RBV</w:t>
      </w:r>
      <w:r w:rsidRPr="0040783B">
        <w:t xml:space="preserve">-свободной руке, чем в </w:t>
      </w:r>
      <w:r w:rsidRPr="00D32325">
        <w:rPr>
          <w:lang w:val="en-US"/>
        </w:rPr>
        <w:t>RBV</w:t>
      </w:r>
      <w:r w:rsidRPr="0040783B">
        <w:t xml:space="preserve">-содержании руки (90% по сравнению с 97%, соответственно) вследствие более высоких показателей вирусологической неудачи (7,8% по сравнению с 2%, соответственно), подтвердив потребность в основанном на весе </w:t>
      </w:r>
      <w:r w:rsidRPr="00D32325">
        <w:rPr>
          <w:lang w:val="en-US"/>
        </w:rPr>
        <w:t>RBV</w:t>
      </w:r>
      <w:r w:rsidRPr="0040783B">
        <w:t xml:space="preserve"> для пациентов с генотипом </w:t>
      </w:r>
      <w:r w:rsidRPr="00D32325">
        <w:rPr>
          <w:lang w:val="en-US"/>
        </w:rPr>
        <w:t>HCV</w:t>
      </w:r>
      <w:r w:rsidRPr="0040783B">
        <w:t xml:space="preserve"> 1</w:t>
      </w:r>
      <w:r w:rsidRPr="00D32325">
        <w:rPr>
          <w:lang w:val="en-US"/>
        </w:rPr>
        <w:t>a</w:t>
      </w:r>
      <w:r w:rsidRPr="0040783B">
        <w:t xml:space="preserve">. </w:t>
      </w:r>
      <w:r>
        <w:t xml:space="preserve">БИРЮЗА-II зарегистрировалась наивный лечением и - опытные пациенты (261 пациент с генотипом HCV 1a) с классом CTP цирроз, чтобы получить или 12 недель или 24 недели лечения с PrOD и RBV. </w:t>
      </w:r>
      <w:r w:rsidRPr="0040783B">
        <w:t xml:space="preserve">В целом, ставки </w:t>
      </w:r>
      <w:r w:rsidRPr="00D32325">
        <w:rPr>
          <w:lang w:val="en-US"/>
        </w:rPr>
        <w:t>SVR</w:t>
      </w:r>
      <w:r w:rsidRPr="0040783B">
        <w:t>12 составляли 89% в 12-недельной руке и 95% в 24-недельной руке. (</w:t>
      </w:r>
      <w:hyperlink r:id="rId30">
        <w:r w:rsidRPr="00D32325">
          <w:rPr>
            <w:color w:val="0000FF"/>
            <w:u w:val="single" w:color="0000FF"/>
            <w:lang w:val="en-US"/>
          </w:rPr>
          <w:t>paritaprevir</w:t>
        </w:r>
        <w:r w:rsidRPr="0040783B">
          <w:rPr>
            <w:color w:val="0000FF"/>
            <w:u w:val="single" w:color="0000FF"/>
          </w:rPr>
          <w:t xml:space="preserve"> [21]</w:t>
        </w:r>
      </w:hyperlink>
      <w:r w:rsidRPr="0040783B">
        <w:t xml:space="preserve"> </w:t>
      </w:r>
      <w:hyperlink r:id="rId31">
        <w:r w:rsidRPr="0040783B">
          <w:rPr>
            <w:color w:val="0000FF"/>
            <w:u w:val="single" w:color="0000FF"/>
          </w:rPr>
          <w:t>/</w:t>
        </w:r>
      </w:hyperlink>
      <w:r w:rsidRPr="0040783B">
        <w:t xml:space="preserve"> </w:t>
      </w:r>
      <w:r w:rsidRPr="0040783B">
        <w:rPr>
          <w:sz w:val="15"/>
        </w:rPr>
        <w:t>[21]</w:t>
      </w:r>
      <w:r>
        <w:t xml:space="preserve"> </w:t>
      </w:r>
      <w:hyperlink r:id="rId32"/>
      <w:hyperlink r:id="rId33">
        <w:r w:rsidRPr="0040783B">
          <w:rPr>
            <w:color w:val="0000FF"/>
            <w:u w:val="single" w:color="0000FF"/>
          </w:rPr>
          <w:t>информация о предписании</w:t>
        </w:r>
      </w:hyperlink>
      <w:r>
        <w:t xml:space="preserve"> </w:t>
      </w:r>
      <w:hyperlink r:id="rId34">
        <w:r w:rsidRPr="00D32325">
          <w:rPr>
            <w:color w:val="0000FF"/>
            <w:u w:val="single" w:color="0000FF"/>
            <w:lang w:val="en-US"/>
          </w:rPr>
          <w:t>ritonavir</w:t>
        </w:r>
        <w:r w:rsidRPr="0040783B">
          <w:rPr>
            <w:color w:val="0000FF"/>
            <w:u w:val="single" w:color="0000FF"/>
          </w:rPr>
          <w:t>/[21]</w:t>
        </w:r>
        <w:r w:rsidRPr="00D32325">
          <w:rPr>
            <w:color w:val="0000FF"/>
            <w:u w:val="single" w:color="0000FF"/>
            <w:lang w:val="en-US"/>
          </w:rPr>
          <w:t>ombitasvir</w:t>
        </w:r>
        <w:r w:rsidRPr="0040783B">
          <w:rPr>
            <w:color w:val="0000FF"/>
            <w:u w:val="single" w:color="0000FF"/>
          </w:rPr>
          <w:t xml:space="preserve"> [21]</w:t>
        </w:r>
      </w:hyperlink>
      <w:r w:rsidRPr="0040783B">
        <w:t xml:space="preserve"> </w:t>
      </w:r>
      <w:r w:rsidRPr="0040783B">
        <w:rPr>
          <w:sz w:val="15"/>
        </w:rPr>
        <w:t>[21]</w:t>
      </w:r>
      <w:r w:rsidRPr="0040783B">
        <w:t>); (</w:t>
      </w:r>
      <w:hyperlink r:id="rId35" w:anchor="poordad2014">
        <w:r w:rsidRPr="00D32325">
          <w:rPr>
            <w:color w:val="0000FF"/>
            <w:u w:val="single" w:color="0000FF"/>
            <w:lang w:val="en-US"/>
          </w:rPr>
          <w:t>Poordad</w:t>
        </w:r>
        <w:r w:rsidRPr="0040783B">
          <w:rPr>
            <w:color w:val="0000FF"/>
            <w:u w:val="single" w:color="0000FF"/>
          </w:rPr>
          <w:t>, 2014 [22]</w:t>
        </w:r>
      </w:hyperlink>
      <w:r w:rsidRPr="0040783B">
        <w:t xml:space="preserve">), Это различие в уровне </w:t>
      </w:r>
      <w:r w:rsidRPr="00D32325">
        <w:rPr>
          <w:lang w:val="en-US"/>
        </w:rPr>
        <w:t>SVR</w:t>
      </w:r>
      <w:r w:rsidRPr="0040783B">
        <w:t>12 между руками прежде всего заставили пациенты с пустой реакцией ПРИВЯЗАТЬ-</w:t>
      </w:r>
      <w:r w:rsidRPr="00D32325">
        <w:rPr>
          <w:lang w:val="en-US"/>
        </w:rPr>
        <w:t>IFN</w:t>
      </w:r>
      <w:r w:rsidRPr="0040783B">
        <w:t xml:space="preserve"> и </w:t>
      </w:r>
      <w:r w:rsidRPr="00D32325">
        <w:rPr>
          <w:lang w:val="en-US"/>
        </w:rPr>
        <w:t>RBV</w:t>
      </w:r>
      <w:r w:rsidRPr="0040783B">
        <w:t xml:space="preserve">; было меньше различия в ставках </w:t>
      </w:r>
      <w:r w:rsidRPr="00D32325">
        <w:rPr>
          <w:lang w:val="en-US"/>
        </w:rPr>
        <w:t>SVR</w:t>
      </w:r>
      <w:r w:rsidRPr="0040783B">
        <w:t xml:space="preserve"> в пациентах с циррозом, которые были наивны к терапии</w:t>
      </w:r>
    </w:p>
    <w:p w:rsidR="0040783B" w:rsidRPr="0040783B" w:rsidRDefault="0040783B" w:rsidP="00E36270">
      <w:pPr>
        <w:spacing w:after="3" w:line="265" w:lineRule="auto"/>
        <w:ind w:left="-5"/>
      </w:pPr>
      <w:r w:rsidRPr="0040783B">
        <w:t>(92% и 95%, соответственно). (</w:t>
      </w:r>
      <w:hyperlink r:id="rId36"/>
      <w:hyperlink r:id="rId37">
        <w:r w:rsidRPr="0040783B">
          <w:rPr>
            <w:color w:val="0000FF"/>
            <w:u w:val="single" w:color="0000FF"/>
          </w:rPr>
          <w:t>информация о предписании</w:t>
        </w:r>
      </w:hyperlink>
      <w:r>
        <w:t xml:space="preserve"> </w:t>
      </w:r>
      <w:hyperlink r:id="rId38">
        <w:r w:rsidRPr="00D32325">
          <w:rPr>
            <w:color w:val="0000FF"/>
            <w:u w:val="single" w:color="0000FF"/>
            <w:lang w:val="en-US"/>
          </w:rPr>
          <w:t>paritaprevir</w:t>
        </w:r>
        <w:r w:rsidRPr="0040783B">
          <w:rPr>
            <w:color w:val="0000FF"/>
            <w:u w:val="single" w:color="0000FF"/>
          </w:rPr>
          <w:t>/</w:t>
        </w:r>
        <w:r w:rsidRPr="00D32325">
          <w:rPr>
            <w:color w:val="0000FF"/>
            <w:u w:val="single" w:color="0000FF"/>
            <w:lang w:val="en-US"/>
          </w:rPr>
          <w:t>ritonavir</w:t>
        </w:r>
        <w:r w:rsidRPr="0040783B">
          <w:rPr>
            <w:color w:val="0000FF"/>
            <w:u w:val="single" w:color="0000FF"/>
          </w:rPr>
          <w:t xml:space="preserve">/[21] </w:t>
        </w:r>
        <w:r w:rsidRPr="00D32325">
          <w:rPr>
            <w:color w:val="0000FF"/>
            <w:u w:val="single" w:color="0000FF"/>
            <w:lang w:val="en-US"/>
          </w:rPr>
          <w:t>ombitasvir</w:t>
        </w:r>
        <w:r w:rsidRPr="0040783B">
          <w:rPr>
            <w:color w:val="0000FF"/>
            <w:u w:val="single" w:color="0000FF"/>
          </w:rPr>
          <w:t xml:space="preserve"> [21]</w:t>
        </w:r>
      </w:hyperlink>
      <w:r>
        <w:t xml:space="preserve"> </w:t>
      </w:r>
      <w:r w:rsidRPr="0040783B">
        <w:rPr>
          <w:sz w:val="15"/>
        </w:rPr>
        <w:t>[21]</w:t>
      </w:r>
      <w:r w:rsidRPr="0040783B">
        <w:t>);</w:t>
      </w:r>
    </w:p>
    <w:p w:rsidR="0040783B" w:rsidRDefault="0040783B" w:rsidP="00E36270">
      <w:pPr>
        <w:spacing w:after="3" w:line="265" w:lineRule="auto"/>
        <w:ind w:left="-5"/>
      </w:pPr>
      <w:r>
        <w:t>(</w:t>
      </w:r>
      <w:hyperlink r:id="rId39" w:anchor="poordad2014">
        <w:r>
          <w:rPr>
            <w:color w:val="0000FF"/>
            <w:u w:val="single" w:color="0000FF"/>
          </w:rPr>
          <w:t>Poordad, 2014 [22]</w:t>
        </w:r>
      </w:hyperlink>
      <w:r>
        <w:t>)</w:t>
      </w:r>
    </w:p>
    <w:tbl>
      <w:tblPr>
        <w:tblStyle w:val="TableGrid"/>
        <w:tblW w:w="9435" w:type="dxa"/>
        <w:tblInd w:w="0" w:type="dxa"/>
        <w:tblCellMar>
          <w:top w:w="27" w:type="dxa"/>
        </w:tblCellMar>
        <w:tblLook w:val="04A0" w:firstRow="1" w:lastRow="0" w:firstColumn="1" w:lastColumn="0" w:noHBand="0" w:noVBand="1"/>
      </w:tblPr>
      <w:tblGrid>
        <w:gridCol w:w="4541"/>
        <w:gridCol w:w="284"/>
        <w:gridCol w:w="4609"/>
      </w:tblGrid>
      <w:tr w:rsidR="0040783B" w:rsidRPr="00D32325" w:rsidTr="00AE7FF4">
        <w:trPr>
          <w:trHeight w:val="62"/>
        </w:trPr>
        <w:tc>
          <w:tcPr>
            <w:tcW w:w="4541" w:type="dxa"/>
            <w:vMerge w:val="restart"/>
            <w:tcBorders>
              <w:top w:val="nil"/>
              <w:left w:val="nil"/>
              <w:bottom w:val="nil"/>
              <w:right w:val="nil"/>
            </w:tcBorders>
            <w:shd w:val="clear" w:color="auto" w:fill="FFFF00"/>
          </w:tcPr>
          <w:p w:rsidR="0040783B" w:rsidRPr="0040783B" w:rsidRDefault="0040783B" w:rsidP="00AE7FF4">
            <w:pPr>
              <w:spacing w:line="259" w:lineRule="auto"/>
              <w:jc w:val="both"/>
            </w:pPr>
            <w:r w:rsidRPr="0040783B">
              <w:t xml:space="preserve">В октябре 2015 </w:t>
            </w:r>
            <w:r w:rsidRPr="00D32325">
              <w:rPr>
                <w:lang w:val="en-US"/>
              </w:rPr>
              <w:t>FDA</w:t>
            </w:r>
            <w:r w:rsidRPr="0040783B">
              <w:t xml:space="preserve"> выпустила </w:t>
            </w:r>
            <w:hyperlink r:id="rId40">
              <w:r w:rsidRPr="0040783B">
                <w:rPr>
                  <w:color w:val="0000FF"/>
                </w:rPr>
                <w:t>предупреждение</w:t>
              </w:r>
            </w:hyperlink>
            <w:r w:rsidRPr="0040783B">
              <w:t xml:space="preserve"> </w:t>
            </w:r>
          </w:p>
        </w:tc>
        <w:tc>
          <w:tcPr>
            <w:tcW w:w="284" w:type="dxa"/>
            <w:tcBorders>
              <w:top w:val="nil"/>
              <w:left w:val="nil"/>
              <w:bottom w:val="nil"/>
              <w:right w:val="nil"/>
            </w:tcBorders>
          </w:tcPr>
          <w:p w:rsidR="0040783B" w:rsidRPr="0040783B" w:rsidRDefault="0040783B" w:rsidP="00AE7FF4">
            <w:pPr>
              <w:spacing w:after="160" w:line="259" w:lineRule="auto"/>
            </w:pPr>
          </w:p>
        </w:tc>
        <w:tc>
          <w:tcPr>
            <w:tcW w:w="4609" w:type="dxa"/>
            <w:vMerge w:val="restart"/>
            <w:tcBorders>
              <w:top w:val="nil"/>
              <w:left w:val="nil"/>
              <w:bottom w:val="nil"/>
              <w:right w:val="nil"/>
            </w:tcBorders>
            <w:shd w:val="clear" w:color="auto" w:fill="FFFF00"/>
          </w:tcPr>
          <w:p w:rsidR="0040783B" w:rsidRPr="0040783B" w:rsidRDefault="0040783B" w:rsidP="00AE7FF4">
            <w:pPr>
              <w:spacing w:line="259" w:lineRule="auto"/>
              <w:jc w:val="both"/>
            </w:pPr>
            <w:r w:rsidRPr="0040783B">
              <w:t xml:space="preserve"> относительно использования </w:t>
            </w:r>
            <w:r w:rsidRPr="00D32325">
              <w:rPr>
                <w:lang w:val="en-US"/>
              </w:rPr>
              <w:t>PrOD</w:t>
            </w:r>
            <w:r w:rsidRPr="0040783B">
              <w:t xml:space="preserve"> или </w:t>
            </w:r>
            <w:r w:rsidRPr="00D32325">
              <w:rPr>
                <w:lang w:val="en-US"/>
              </w:rPr>
              <w:t>PrO</w:t>
            </w:r>
            <w:r w:rsidRPr="0040783B">
              <w:t xml:space="preserve"> (без</w:t>
            </w:r>
          </w:p>
        </w:tc>
      </w:tr>
      <w:tr w:rsidR="0040783B" w:rsidTr="00AE7FF4">
        <w:trPr>
          <w:trHeight w:val="179"/>
        </w:trPr>
        <w:tc>
          <w:tcPr>
            <w:tcW w:w="0" w:type="auto"/>
            <w:vMerge/>
            <w:tcBorders>
              <w:top w:val="nil"/>
              <w:left w:val="nil"/>
              <w:bottom w:val="nil"/>
              <w:right w:val="nil"/>
            </w:tcBorders>
          </w:tcPr>
          <w:p w:rsidR="0040783B" w:rsidRPr="0040783B" w:rsidRDefault="0040783B" w:rsidP="00AE7FF4">
            <w:pPr>
              <w:spacing w:after="160" w:line="259" w:lineRule="auto"/>
            </w:pPr>
          </w:p>
        </w:tc>
        <w:tc>
          <w:tcPr>
            <w:tcW w:w="284" w:type="dxa"/>
            <w:tcBorders>
              <w:top w:val="nil"/>
              <w:left w:val="nil"/>
              <w:bottom w:val="nil"/>
              <w:right w:val="nil"/>
            </w:tcBorders>
            <w:shd w:val="clear" w:color="auto" w:fill="FFFF00"/>
          </w:tcPr>
          <w:p w:rsidR="0040783B" w:rsidRDefault="0040783B" w:rsidP="00AE7FF4">
            <w:pPr>
              <w:spacing w:line="259" w:lineRule="auto"/>
              <w:jc w:val="both"/>
            </w:pPr>
            <w:r>
              <w:rPr>
                <w:sz w:val="15"/>
              </w:rPr>
              <w:t>[23]</w:t>
            </w:r>
          </w:p>
        </w:tc>
        <w:tc>
          <w:tcPr>
            <w:tcW w:w="0" w:type="auto"/>
            <w:vMerge/>
            <w:tcBorders>
              <w:top w:val="nil"/>
              <w:left w:val="nil"/>
              <w:bottom w:val="nil"/>
              <w:right w:val="nil"/>
            </w:tcBorders>
          </w:tcPr>
          <w:p w:rsidR="0040783B" w:rsidRDefault="0040783B" w:rsidP="00AE7FF4">
            <w:pPr>
              <w:spacing w:after="160" w:line="259" w:lineRule="auto"/>
            </w:pPr>
          </w:p>
        </w:tc>
      </w:tr>
    </w:tbl>
    <w:p w:rsidR="0040783B" w:rsidRPr="0040783B" w:rsidRDefault="0040783B" w:rsidP="00E36270">
      <w:pPr>
        <w:shd w:val="clear" w:color="auto" w:fill="FFFF00"/>
        <w:spacing w:after="3"/>
      </w:pPr>
      <w:r w:rsidRPr="00D32325">
        <w:rPr>
          <w:lang w:val="en-US"/>
        </w:rPr>
        <w:t>dasabuvir</w:t>
      </w:r>
      <w:r w:rsidRPr="0040783B">
        <w:t>) у больных с циррозом. (Это заявление основывается на нашем обзоре доступных ограниченных данных</w:t>
      </w:r>
    </w:p>
    <w:p w:rsidR="0040783B" w:rsidRPr="0040783B" w:rsidRDefault="0040783B" w:rsidP="00E36270">
      <w:pPr>
        <w:spacing w:after="0" w:line="261" w:lineRule="auto"/>
        <w:ind w:left="-5" w:right="18"/>
      </w:pPr>
      <w:r w:rsidRPr="0040783B">
        <w:rPr>
          <w:shd w:val="clear" w:color="auto" w:fill="FFFF00"/>
        </w:rPr>
        <w:t xml:space="preserve">от </w:t>
      </w:r>
      <w:r w:rsidRPr="00D32325">
        <w:rPr>
          <w:shd w:val="clear" w:color="auto" w:fill="FFFF00"/>
          <w:lang w:val="en-US"/>
        </w:rPr>
        <w:t>FDA</w:t>
      </w:r>
      <w:r w:rsidRPr="0040783B">
        <w:rPr>
          <w:shd w:val="clear" w:color="auto" w:fill="FFFF00"/>
        </w:rPr>
        <w:t xml:space="preserve"> и будет обновлен, если и когда больше данных станет доступным.) </w:t>
      </w:r>
      <w:r w:rsidRPr="00D32325">
        <w:rPr>
          <w:shd w:val="clear" w:color="auto" w:fill="FFFF00"/>
          <w:lang w:val="en-US"/>
        </w:rPr>
        <w:t>PrOD</w:t>
      </w:r>
      <w:r w:rsidRPr="0040783B">
        <w:rPr>
          <w:shd w:val="clear" w:color="auto" w:fill="FFFF00"/>
        </w:rPr>
        <w:t xml:space="preserve"> и </w:t>
      </w:r>
      <w:r w:rsidRPr="00D32325">
        <w:rPr>
          <w:shd w:val="clear" w:color="auto" w:fill="FFFF00"/>
          <w:lang w:val="en-US"/>
        </w:rPr>
        <w:t>PrO</w:t>
      </w:r>
      <w:r w:rsidRPr="0040783B">
        <w:rPr>
          <w:shd w:val="clear" w:color="auto" w:fill="FFFF00"/>
        </w:rPr>
        <w:t xml:space="preserve"> служат противопоказанием у больных с классом </w:t>
      </w:r>
      <w:r w:rsidRPr="00D32325">
        <w:rPr>
          <w:shd w:val="clear" w:color="auto" w:fill="FFFF00"/>
          <w:lang w:val="en-US"/>
        </w:rPr>
        <w:t>B</w:t>
      </w:r>
      <w:r w:rsidRPr="0040783B">
        <w:rPr>
          <w:shd w:val="clear" w:color="auto" w:fill="FFFF00"/>
        </w:rPr>
        <w:t xml:space="preserve"> или </w:t>
      </w:r>
      <w:r w:rsidRPr="00D32325">
        <w:rPr>
          <w:shd w:val="clear" w:color="auto" w:fill="FFFF00"/>
          <w:lang w:val="en-US"/>
        </w:rPr>
        <w:t>C</w:t>
      </w:r>
      <w:r w:rsidRPr="0040783B">
        <w:rPr>
          <w:shd w:val="clear" w:color="auto" w:fill="FFFF00"/>
        </w:rPr>
        <w:t xml:space="preserve"> ребенка Теркотта Пью (</w:t>
      </w:r>
      <w:r w:rsidRPr="00D32325">
        <w:rPr>
          <w:shd w:val="clear" w:color="auto" w:fill="FFFF00"/>
          <w:lang w:val="en-US"/>
        </w:rPr>
        <w:t>CTP</w:t>
      </w:r>
      <w:r w:rsidRPr="0040783B">
        <w:rPr>
          <w:shd w:val="clear" w:color="auto" w:fill="FFFF00"/>
        </w:rPr>
        <w:t>) печеночное ухудшение</w:t>
      </w:r>
    </w:p>
    <w:p w:rsidR="0040783B" w:rsidRPr="0040783B" w:rsidRDefault="0040783B" w:rsidP="00E36270">
      <w:pPr>
        <w:spacing w:line="261" w:lineRule="auto"/>
        <w:ind w:left="-5" w:right="18"/>
      </w:pPr>
      <w:r w:rsidRPr="0040783B">
        <w:rPr>
          <w:shd w:val="clear" w:color="auto" w:fill="FFFF00"/>
        </w:rPr>
        <w:t xml:space="preserve">(декомпенсированное заболевание печени). Программа фармаконадзора производителя сообщила о быстром начале повреждения печени и в некоторых случаях печеночной декомпенсации у больных с циррозом, включая класс </w:t>
      </w:r>
      <w:r w:rsidRPr="00D32325">
        <w:rPr>
          <w:shd w:val="clear" w:color="auto" w:fill="FFFF00"/>
          <w:lang w:val="en-US"/>
        </w:rPr>
        <w:t>CTP</w:t>
      </w:r>
      <w:r w:rsidRPr="0040783B">
        <w:rPr>
          <w:shd w:val="clear" w:color="auto" w:fill="FFFF00"/>
        </w:rPr>
        <w:t xml:space="preserve"> данный компенсацию цирроз и декомпенсировала цирроз, кто получал </w:t>
      </w:r>
      <w:r w:rsidRPr="00D32325">
        <w:rPr>
          <w:shd w:val="clear" w:color="auto" w:fill="FFFF00"/>
          <w:lang w:val="en-US"/>
        </w:rPr>
        <w:t>PrOD</w:t>
      </w:r>
      <w:r w:rsidRPr="0040783B">
        <w:rPr>
          <w:shd w:val="clear" w:color="auto" w:fill="FFFF00"/>
        </w:rPr>
        <w:t xml:space="preserve"> или </w:t>
      </w:r>
      <w:r w:rsidRPr="00D32325">
        <w:rPr>
          <w:shd w:val="clear" w:color="auto" w:fill="FFFF00"/>
          <w:lang w:val="en-US"/>
        </w:rPr>
        <w:t>PrO</w:t>
      </w:r>
      <w:r w:rsidRPr="0040783B">
        <w:rPr>
          <w:shd w:val="clear" w:color="auto" w:fill="FFFF00"/>
        </w:rPr>
        <w:t xml:space="preserve">. Повреждение печени и события декомпенсации произошли в основном в течение первых 4 недель терапии и прежде всего включили быстрое увеличение общего и прямого билирубина, часто связанного с сопутствующим увеличением уровней фермента печени. В большинстве случаев раннее узнавание и быстрое прекращение </w:t>
      </w:r>
      <w:r w:rsidRPr="00D32325">
        <w:rPr>
          <w:shd w:val="clear" w:color="auto" w:fill="FFFF00"/>
          <w:lang w:val="en-US"/>
        </w:rPr>
        <w:t>PrOD</w:t>
      </w:r>
      <w:r w:rsidRPr="0040783B">
        <w:rPr>
          <w:shd w:val="clear" w:color="auto" w:fill="FFFF00"/>
        </w:rPr>
        <w:t xml:space="preserve"> или </w:t>
      </w:r>
      <w:r w:rsidRPr="00D32325">
        <w:rPr>
          <w:shd w:val="clear" w:color="auto" w:fill="FFFF00"/>
          <w:lang w:val="en-US"/>
        </w:rPr>
        <w:t>PrO</w:t>
      </w:r>
      <w:r w:rsidRPr="0040783B">
        <w:rPr>
          <w:shd w:val="clear" w:color="auto" w:fill="FFFF00"/>
        </w:rPr>
        <w:t xml:space="preserve"> привели к исходу раны, несмотря на то, что некоторые пациенты, включая по крайней мере 2 пациентов с классом </w:t>
      </w:r>
      <w:r w:rsidRPr="00D32325">
        <w:rPr>
          <w:shd w:val="clear" w:color="auto" w:fill="FFFF00"/>
          <w:lang w:val="en-US"/>
        </w:rPr>
        <w:t>CTP</w:t>
      </w:r>
      <w:r w:rsidRPr="0040783B">
        <w:rPr>
          <w:shd w:val="clear" w:color="auto" w:fill="FFFF00"/>
        </w:rPr>
        <w:t xml:space="preserve"> данный компенсацию цирроз, умерли или потребовали пересадки печени. Несмотря на то, что цирроз несет 2% к 4%-му ежегодному риску печеночной декомпенсации, быстрому началу печеночной декомпенсации, и во многих случаях ее решение с прекращением лечения с </w:t>
      </w:r>
      <w:r w:rsidRPr="00D32325">
        <w:rPr>
          <w:shd w:val="clear" w:color="auto" w:fill="FFFF00"/>
          <w:lang w:val="en-US"/>
        </w:rPr>
        <w:t>PrOD</w:t>
      </w:r>
      <w:r w:rsidRPr="0040783B">
        <w:rPr>
          <w:shd w:val="clear" w:color="auto" w:fill="FFFF00"/>
        </w:rPr>
        <w:t xml:space="preserve"> или </w:t>
      </w:r>
      <w:r w:rsidRPr="00D32325">
        <w:rPr>
          <w:shd w:val="clear" w:color="auto" w:fill="FFFF00"/>
          <w:lang w:val="en-US"/>
        </w:rPr>
        <w:t>PrO</w:t>
      </w:r>
      <w:r w:rsidRPr="0040783B">
        <w:rPr>
          <w:shd w:val="clear" w:color="auto" w:fill="FFFF00"/>
        </w:rPr>
        <w:t xml:space="preserve"> является суггестивным из лекарственного повреждения печени. Несмотря на то, что </w:t>
      </w:r>
      <w:r w:rsidRPr="00D32325">
        <w:rPr>
          <w:shd w:val="clear" w:color="auto" w:fill="FFFF00"/>
          <w:lang w:val="en-US"/>
        </w:rPr>
        <w:t>PrOD</w:t>
      </w:r>
      <w:r w:rsidRPr="0040783B">
        <w:rPr>
          <w:shd w:val="clear" w:color="auto" w:fill="FFFF00"/>
        </w:rPr>
        <w:t xml:space="preserve"> и </w:t>
      </w:r>
      <w:r w:rsidRPr="00D32325">
        <w:rPr>
          <w:shd w:val="clear" w:color="auto" w:fill="FFFF00"/>
          <w:lang w:val="en-US"/>
        </w:rPr>
        <w:t>PrO</w:t>
      </w:r>
      <w:r w:rsidRPr="0040783B">
        <w:rPr>
          <w:shd w:val="clear" w:color="auto" w:fill="FFFF00"/>
        </w:rPr>
        <w:t xml:space="preserve"> служат противопоказанием у больных с циррозом класса </w:t>
      </w:r>
      <w:r w:rsidRPr="00D32325">
        <w:rPr>
          <w:shd w:val="clear" w:color="auto" w:fill="FFFF00"/>
          <w:lang w:val="en-US"/>
        </w:rPr>
        <w:t>B</w:t>
      </w:r>
      <w:r w:rsidRPr="0040783B">
        <w:rPr>
          <w:shd w:val="clear" w:color="auto" w:fill="FFFF00"/>
        </w:rPr>
        <w:t xml:space="preserve"> или </w:t>
      </w:r>
      <w:r w:rsidRPr="00D32325">
        <w:rPr>
          <w:shd w:val="clear" w:color="auto" w:fill="FFFF00"/>
          <w:lang w:val="en-US"/>
        </w:rPr>
        <w:t>C</w:t>
      </w:r>
      <w:r w:rsidRPr="0040783B">
        <w:rPr>
          <w:shd w:val="clear" w:color="auto" w:fill="FFFF00"/>
        </w:rPr>
        <w:t xml:space="preserve"> </w:t>
      </w:r>
      <w:r w:rsidRPr="00D32325">
        <w:rPr>
          <w:shd w:val="clear" w:color="auto" w:fill="FFFF00"/>
          <w:lang w:val="en-US"/>
        </w:rPr>
        <w:t>CTP</w:t>
      </w:r>
      <w:r w:rsidRPr="0040783B">
        <w:rPr>
          <w:shd w:val="clear" w:color="auto" w:fill="FFFF00"/>
        </w:rPr>
        <w:t xml:space="preserve"> и декомпенсированным заболеванием печени, показателями этих событий у больных с классом </w:t>
      </w:r>
      <w:r w:rsidRPr="00D32325">
        <w:rPr>
          <w:shd w:val="clear" w:color="auto" w:fill="FFFF00"/>
          <w:lang w:val="en-US"/>
        </w:rPr>
        <w:t>CTP</w:t>
      </w:r>
      <w:r w:rsidRPr="0040783B">
        <w:rPr>
          <w:shd w:val="clear" w:color="auto" w:fill="FFFF00"/>
        </w:rPr>
        <w:t>, цирроз в настоящее время неясен.</w:t>
      </w:r>
    </w:p>
    <w:p w:rsidR="0040783B" w:rsidRPr="0040783B" w:rsidRDefault="0040783B" w:rsidP="00E36270">
      <w:pPr>
        <w:spacing w:line="261" w:lineRule="auto"/>
        <w:ind w:left="-5" w:right="18"/>
      </w:pPr>
      <w:r w:rsidRPr="0040783B">
        <w:rPr>
          <w:shd w:val="clear" w:color="auto" w:fill="FFFF00"/>
        </w:rPr>
        <w:t xml:space="preserve">Для пациентов с классом </w:t>
      </w:r>
      <w:r w:rsidRPr="00D32325">
        <w:rPr>
          <w:shd w:val="clear" w:color="auto" w:fill="FFFF00"/>
          <w:lang w:val="en-US"/>
        </w:rPr>
        <w:t>CTP</w:t>
      </w:r>
      <w:r w:rsidRPr="0040783B">
        <w:rPr>
          <w:shd w:val="clear" w:color="auto" w:fill="FFFF00"/>
        </w:rPr>
        <w:t xml:space="preserve"> цирроз маловероятная, но реальная возможность лекарственного повреждения печени должна быть обсуждена с пациентом. Если решение принято, чтобы инициировать лечение с </w:t>
      </w:r>
      <w:r w:rsidRPr="00D32325">
        <w:rPr>
          <w:shd w:val="clear" w:color="auto" w:fill="FFFF00"/>
          <w:lang w:val="en-US"/>
        </w:rPr>
        <w:t>PrOD</w:t>
      </w:r>
      <w:r w:rsidRPr="0040783B">
        <w:rPr>
          <w:shd w:val="clear" w:color="auto" w:fill="FFFF00"/>
        </w:rPr>
        <w:t xml:space="preserve"> или </w:t>
      </w:r>
      <w:r w:rsidRPr="00D32325">
        <w:rPr>
          <w:shd w:val="clear" w:color="auto" w:fill="FFFF00"/>
          <w:lang w:val="en-US"/>
        </w:rPr>
        <w:t>PrO</w:t>
      </w:r>
      <w:r w:rsidRPr="0040783B">
        <w:rPr>
          <w:shd w:val="clear" w:color="auto" w:fill="FFFF00"/>
        </w:rPr>
        <w:t xml:space="preserve">, тщательный мониторинг общего и прямого билирубина и трансаминазы выравнивает каждую 1 неделю, или 2 недели в течение первых 4 недель рекомендуется гарантировать раннюю диагностику лекарственного повреждения печени. Кроме того, обучение пациентов о важности создания отчетов о системных симптомах, таких как желтуха, слабость и усталость сильно рекомендуется. Режим должен быть немедленно прекращен, если лекарственное повреждение печени диагностируется. Если пациент уже берет </w:t>
      </w:r>
      <w:r w:rsidRPr="00D32325">
        <w:rPr>
          <w:shd w:val="clear" w:color="auto" w:fill="FFFF00"/>
          <w:lang w:val="en-US"/>
        </w:rPr>
        <w:t>PrOD</w:t>
      </w:r>
      <w:r w:rsidRPr="0040783B">
        <w:rPr>
          <w:shd w:val="clear" w:color="auto" w:fill="FFFF00"/>
        </w:rPr>
        <w:t xml:space="preserve"> или </w:t>
      </w:r>
      <w:r w:rsidRPr="00D32325">
        <w:rPr>
          <w:shd w:val="clear" w:color="auto" w:fill="FFFF00"/>
          <w:lang w:val="en-US"/>
        </w:rPr>
        <w:t>PrO</w:t>
      </w:r>
      <w:r w:rsidRPr="0040783B">
        <w:rPr>
          <w:shd w:val="clear" w:color="auto" w:fill="FFFF00"/>
        </w:rPr>
        <w:t xml:space="preserve"> и выносит режим, лаборатория, контролирующая, поскольку выше без прекращения рекомендуется, если нет знаки или симптомы повреждения печени. Если усилено контроль не может быть обеспечен за первые 4 недели терапии с </w:t>
      </w:r>
      <w:r w:rsidRPr="00D32325">
        <w:rPr>
          <w:shd w:val="clear" w:color="auto" w:fill="FFFF00"/>
          <w:lang w:val="en-US"/>
        </w:rPr>
        <w:t>PrOD</w:t>
      </w:r>
      <w:r w:rsidRPr="0040783B">
        <w:rPr>
          <w:shd w:val="clear" w:color="auto" w:fill="FFFF00"/>
        </w:rPr>
        <w:t xml:space="preserve"> или </w:t>
      </w:r>
      <w:r w:rsidRPr="00D32325">
        <w:rPr>
          <w:shd w:val="clear" w:color="auto" w:fill="FFFF00"/>
          <w:lang w:val="en-US"/>
        </w:rPr>
        <w:t>PrO</w:t>
      </w:r>
      <w:r w:rsidRPr="0040783B">
        <w:rPr>
          <w:shd w:val="clear" w:color="auto" w:fill="FFFF00"/>
        </w:rPr>
        <w:t xml:space="preserve"> у больных с циррозом, использование этих режимов не рекомендуется.</w:t>
      </w:r>
    </w:p>
    <w:p w:rsidR="0040783B" w:rsidRPr="0040783B" w:rsidRDefault="0040783B" w:rsidP="00E36270">
      <w:pPr>
        <w:ind w:left="-5" w:right="15"/>
      </w:pPr>
      <w:r w:rsidRPr="0040783B">
        <w:t xml:space="preserve">ОПТИМИСТ 1 и-2 испытания исследовал безопасность и эффективность </w:t>
      </w:r>
      <w:r w:rsidRPr="00D32325">
        <w:rPr>
          <w:lang w:val="en-US"/>
        </w:rPr>
        <w:t>simeprevir</w:t>
      </w:r>
      <w:r w:rsidRPr="0040783B">
        <w:t xml:space="preserve"> (150 мг) и </w:t>
      </w:r>
      <w:r w:rsidRPr="00D32325">
        <w:rPr>
          <w:lang w:val="en-US"/>
        </w:rPr>
        <w:t>sofosbuvir</w:t>
      </w:r>
      <w:r w:rsidRPr="0040783B">
        <w:t xml:space="preserve"> (400 мг) в хронически зараженных пациентах с генотипом </w:t>
      </w:r>
      <w:r w:rsidRPr="00D32325">
        <w:rPr>
          <w:lang w:val="en-US"/>
        </w:rPr>
        <w:t>HCV</w:t>
      </w:r>
      <w:r w:rsidRPr="0040783B">
        <w:t xml:space="preserve"> 1 без и с циррозом, соответственно. В ОПТИМИСТЕ 1 исследование 310 наивных лечением и - опытных пациентов без цирроза рандомизированно назначили на 12 по сравнению с 8 неделями </w:t>
      </w:r>
      <w:r w:rsidRPr="00D32325">
        <w:rPr>
          <w:lang w:val="en-US"/>
        </w:rPr>
        <w:t>simeprevir</w:t>
      </w:r>
      <w:r w:rsidRPr="0040783B">
        <w:t xml:space="preserve"> плюс </w:t>
      </w:r>
      <w:r w:rsidRPr="00D32325">
        <w:rPr>
          <w:lang w:val="en-US"/>
        </w:rPr>
        <w:t>sofosbuvir</w:t>
      </w:r>
      <w:r w:rsidRPr="0040783B">
        <w:t xml:space="preserve"> режим. (</w:t>
      </w:r>
      <w:hyperlink r:id="rId41" w:anchor="kwo2015">
        <w:r w:rsidRPr="00D32325">
          <w:rPr>
            <w:color w:val="0000FF"/>
            <w:u w:val="single" w:color="0000FF"/>
            <w:lang w:val="en-US"/>
          </w:rPr>
          <w:t>Kwo</w:t>
        </w:r>
        <w:r w:rsidRPr="0040783B">
          <w:rPr>
            <w:color w:val="0000FF"/>
            <w:u w:val="single" w:color="0000FF"/>
          </w:rPr>
          <w:t>, 2015 [24]</w:t>
        </w:r>
      </w:hyperlink>
      <w:r w:rsidRPr="0040783B">
        <w:t xml:space="preserve">), полный уровень </w:t>
      </w:r>
      <w:r w:rsidRPr="00D32325">
        <w:rPr>
          <w:lang w:val="en-US"/>
        </w:rPr>
        <w:t>SVR</w:t>
      </w:r>
      <w:r w:rsidRPr="0040783B">
        <w:t xml:space="preserve">12 составлял 97% (150/155) по сравнению с 83% (128/155), соответственно, со статистически значительно большим уровнем рецидива в 8-недельной руке. В 12-недельной руке не было никакого различия в </w:t>
      </w:r>
      <w:r w:rsidRPr="00D32325">
        <w:rPr>
          <w:lang w:val="en-US"/>
        </w:rPr>
        <w:t>SVR</w:t>
      </w:r>
      <w:r w:rsidRPr="0040783B">
        <w:t xml:space="preserve">12; </w:t>
      </w:r>
      <w:r w:rsidRPr="00D32325">
        <w:rPr>
          <w:lang w:val="en-US"/>
        </w:rPr>
        <w:t>treatmentnaive</w:t>
      </w:r>
      <w:r w:rsidRPr="0040783B">
        <w:t xml:space="preserve"> и - опытные пациенты достиг ставок </w:t>
      </w:r>
      <w:r w:rsidRPr="00D32325">
        <w:rPr>
          <w:lang w:val="en-US"/>
        </w:rPr>
        <w:t>SVR</w:t>
      </w:r>
      <w:r w:rsidRPr="0040783B">
        <w:t xml:space="preserve">12 97% и 95%, соответственно. Не было также никакого различия в </w:t>
      </w:r>
      <w:r w:rsidRPr="00D32325">
        <w:rPr>
          <w:lang w:val="en-US"/>
        </w:rPr>
        <w:t>SVR</w:t>
      </w:r>
      <w:r w:rsidRPr="0040783B">
        <w:t xml:space="preserve">12 на основе генотипа 1 подтип или наличие начальной мутации устойчивости </w:t>
      </w:r>
      <w:r w:rsidRPr="00D32325">
        <w:rPr>
          <w:lang w:val="en-US"/>
        </w:rPr>
        <w:t>Q</w:t>
      </w:r>
      <w:r w:rsidRPr="0040783B">
        <w:t>80</w:t>
      </w:r>
      <w:r w:rsidRPr="00D32325">
        <w:rPr>
          <w:lang w:val="en-US"/>
        </w:rPr>
        <w:t>K</w:t>
      </w:r>
      <w:r w:rsidRPr="0040783B">
        <w:t xml:space="preserve">. Апостериорный анализ предположил, что пациенты с начальным уровнем РНК </w:t>
      </w:r>
      <w:r w:rsidRPr="00D32325">
        <w:rPr>
          <w:lang w:val="en-US"/>
        </w:rPr>
        <w:t>HCV</w:t>
      </w:r>
      <w:r w:rsidRPr="0040783B">
        <w:t xml:space="preserve"> ниже 4 миллионов </w:t>
      </w:r>
      <w:r w:rsidRPr="00D32325">
        <w:rPr>
          <w:lang w:val="en-US"/>
        </w:rPr>
        <w:t>IU</w:t>
      </w:r>
      <w:r w:rsidRPr="0040783B">
        <w:t>/</w:t>
      </w:r>
      <w:r w:rsidRPr="00D32325">
        <w:rPr>
          <w:lang w:val="en-US"/>
        </w:rPr>
        <w:t>mL</w:t>
      </w:r>
      <w:r w:rsidRPr="0040783B">
        <w:t xml:space="preserve"> достигли того же уровня </w:t>
      </w:r>
      <w:r w:rsidRPr="00D32325">
        <w:rPr>
          <w:lang w:val="en-US"/>
        </w:rPr>
        <w:t>SVR</w:t>
      </w:r>
      <w:r w:rsidRPr="0040783B">
        <w:t xml:space="preserve">12 (96%) независимо от продолжительности лечения. Этот определенный начальный уровень РНК </w:t>
      </w:r>
      <w:r w:rsidRPr="00D32325">
        <w:rPr>
          <w:lang w:val="en-US"/>
        </w:rPr>
        <w:t>HCV</w:t>
      </w:r>
      <w:r w:rsidRPr="0040783B">
        <w:t xml:space="preserve"> отличается, чем 6 миллионов </w:t>
      </w:r>
      <w:r w:rsidRPr="00D32325">
        <w:rPr>
          <w:lang w:val="en-US"/>
        </w:rPr>
        <w:t>IU</w:t>
      </w:r>
      <w:r w:rsidRPr="0040783B">
        <w:t>/</w:t>
      </w:r>
      <w:r w:rsidRPr="00D32325">
        <w:rPr>
          <w:lang w:val="en-US"/>
        </w:rPr>
        <w:t>mL</w:t>
      </w:r>
      <w:r w:rsidRPr="0040783B">
        <w:t xml:space="preserve">, определенные в ИОНЕ 3 испытания, предполагая, что эти </w:t>
      </w:r>
      <w:r w:rsidRPr="00D32325">
        <w:rPr>
          <w:lang w:val="en-US"/>
        </w:rPr>
        <w:t>posthoc</w:t>
      </w:r>
      <w:r w:rsidRPr="0040783B">
        <w:t xml:space="preserve"> аналитические сокращения произвольны и маловероятны перевести к клинической практике. В это время не может быть рекомендован 8-недельный режим </w:t>
      </w:r>
      <w:r w:rsidRPr="00D32325">
        <w:rPr>
          <w:lang w:val="en-US"/>
        </w:rPr>
        <w:t>simeprevir</w:t>
      </w:r>
      <w:r w:rsidRPr="0040783B">
        <w:t xml:space="preserve"> и </w:t>
      </w:r>
      <w:r w:rsidRPr="00D32325">
        <w:rPr>
          <w:lang w:val="en-US"/>
        </w:rPr>
        <w:t>sofosbuvir</w:t>
      </w:r>
      <w:r w:rsidRPr="0040783B">
        <w:t>.</w:t>
      </w:r>
    </w:p>
    <w:p w:rsidR="0040783B" w:rsidRPr="0040783B" w:rsidRDefault="0040783B" w:rsidP="00E36270">
      <w:pPr>
        <w:ind w:left="-5" w:right="15"/>
      </w:pPr>
      <w:r w:rsidRPr="0040783B">
        <w:t xml:space="preserve">ОПТИМИСТ 2 исследования был единственной рукой, открытое исследование, расследующее 12 недель </w:t>
      </w:r>
      <w:r w:rsidRPr="00D32325">
        <w:rPr>
          <w:lang w:val="en-US"/>
        </w:rPr>
        <w:t>simeprevir</w:t>
      </w:r>
      <w:r w:rsidRPr="0040783B">
        <w:t xml:space="preserve"> плюс </w:t>
      </w:r>
      <w:r w:rsidRPr="00D32325">
        <w:rPr>
          <w:lang w:val="en-US"/>
        </w:rPr>
        <w:t>sofosbuvir</w:t>
      </w:r>
      <w:r w:rsidRPr="0040783B">
        <w:t xml:space="preserve"> в 103 наивных лечением и - опытные пациенты с циррозом. (</w:t>
      </w:r>
      <w:hyperlink r:id="rId42" w:anchor="lawitz2015">
        <w:r w:rsidRPr="00D32325">
          <w:rPr>
            <w:color w:val="0000FF"/>
            <w:u w:val="single" w:color="0000FF"/>
            <w:lang w:val="en-US"/>
          </w:rPr>
          <w:t>Lawitz</w:t>
        </w:r>
        <w:r w:rsidRPr="0040783B">
          <w:rPr>
            <w:color w:val="0000FF"/>
            <w:u w:val="single" w:color="0000FF"/>
          </w:rPr>
          <w:t>, 2015 [25]</w:t>
        </w:r>
      </w:hyperlink>
      <w:r w:rsidRPr="0040783B">
        <w:t xml:space="preserve">), полный уровень </w:t>
      </w:r>
      <w:r w:rsidRPr="00D32325">
        <w:rPr>
          <w:lang w:val="en-US"/>
        </w:rPr>
        <w:t>SVR</w:t>
      </w:r>
      <w:r w:rsidRPr="0040783B">
        <w:t xml:space="preserve">12 составлял 83% (86/103) с 88% (44/50) наивных лечением и 79% (42/53) </w:t>
      </w:r>
      <w:r w:rsidRPr="00D32325">
        <w:rPr>
          <w:lang w:val="en-US"/>
        </w:rPr>
        <w:t>treatmentexperienced</w:t>
      </w:r>
      <w:r w:rsidRPr="0040783B">
        <w:t xml:space="preserve"> пациентов, достигающих </w:t>
      </w:r>
      <w:r w:rsidRPr="00D32325">
        <w:rPr>
          <w:lang w:val="en-US"/>
        </w:rPr>
        <w:t>SVR</w:t>
      </w:r>
      <w:r w:rsidRPr="0040783B">
        <w:t xml:space="preserve">12. Кроме того, пациенты заразили генотипом </w:t>
      </w:r>
      <w:r w:rsidRPr="00D32325">
        <w:rPr>
          <w:lang w:val="en-US"/>
        </w:rPr>
        <w:t>HCV</w:t>
      </w:r>
      <w:r w:rsidRPr="0040783B">
        <w:t xml:space="preserve"> 1</w:t>
      </w:r>
      <w:r w:rsidRPr="00D32325">
        <w:rPr>
          <w:lang w:val="en-US"/>
        </w:rPr>
        <w:t>a</w:t>
      </w:r>
      <w:r w:rsidRPr="0040783B">
        <w:t>, и 1</w:t>
      </w:r>
      <w:r w:rsidRPr="00D32325">
        <w:rPr>
          <w:lang w:val="en-US"/>
        </w:rPr>
        <w:t>b</w:t>
      </w:r>
      <w:r w:rsidRPr="0040783B">
        <w:t xml:space="preserve"> без мутации </w:t>
      </w:r>
      <w:r w:rsidRPr="00D32325">
        <w:rPr>
          <w:lang w:val="en-US"/>
        </w:rPr>
        <w:t>Q</w:t>
      </w:r>
      <w:r w:rsidRPr="0040783B">
        <w:t>80</w:t>
      </w:r>
      <w:r w:rsidRPr="00D32325">
        <w:rPr>
          <w:lang w:val="en-US"/>
        </w:rPr>
        <w:t>K</w:t>
      </w:r>
      <w:r w:rsidRPr="0040783B">
        <w:t xml:space="preserve"> имел подобные ставки </w:t>
      </w:r>
      <w:r w:rsidRPr="00D32325">
        <w:rPr>
          <w:lang w:val="en-US"/>
        </w:rPr>
        <w:t>SVR</w:t>
      </w:r>
      <w:r w:rsidRPr="0040783B">
        <w:t xml:space="preserve">12 (84% [26/31] и 92% [35/38], соответственно). Однако у пациентов с генотипом </w:t>
      </w:r>
      <w:r w:rsidRPr="00D32325">
        <w:rPr>
          <w:lang w:val="en-US"/>
        </w:rPr>
        <w:t>HCV</w:t>
      </w:r>
      <w:r w:rsidRPr="0040783B">
        <w:t xml:space="preserve"> 1</w:t>
      </w:r>
      <w:r w:rsidRPr="00D32325">
        <w:rPr>
          <w:lang w:val="en-US"/>
        </w:rPr>
        <w:t>a</w:t>
      </w:r>
      <w:r w:rsidRPr="0040783B">
        <w:t xml:space="preserve"> инфекция и мутация </w:t>
      </w:r>
      <w:r w:rsidRPr="00D32325">
        <w:rPr>
          <w:lang w:val="en-US"/>
        </w:rPr>
        <w:t>Q</w:t>
      </w:r>
      <w:r w:rsidRPr="0040783B">
        <w:t>80</w:t>
      </w:r>
      <w:r w:rsidRPr="00D32325">
        <w:rPr>
          <w:lang w:val="en-US"/>
        </w:rPr>
        <w:t>K</w:t>
      </w:r>
      <w:r w:rsidRPr="0040783B">
        <w:t xml:space="preserve"> были ниже ставки </w:t>
      </w:r>
      <w:r w:rsidRPr="00D32325">
        <w:rPr>
          <w:lang w:val="en-US"/>
        </w:rPr>
        <w:t>SVR</w:t>
      </w:r>
      <w:r w:rsidRPr="0040783B">
        <w:t xml:space="preserve">12 (74% [25/34]). Таким образом продление лечения к 24 неделям, с или без </w:t>
      </w:r>
      <w:r w:rsidRPr="00D32325">
        <w:rPr>
          <w:lang w:val="en-US"/>
        </w:rPr>
        <w:t>RBV</w:t>
      </w:r>
      <w:r w:rsidRPr="0040783B">
        <w:t xml:space="preserve">, рекомендуется для пациентов с циррозом, получающим </w:t>
      </w:r>
      <w:r w:rsidRPr="00D32325">
        <w:rPr>
          <w:lang w:val="en-US"/>
        </w:rPr>
        <w:t>simeprevir</w:t>
      </w:r>
      <w:r w:rsidRPr="0040783B">
        <w:t xml:space="preserve"> плюс </w:t>
      </w:r>
      <w:r w:rsidRPr="00D32325">
        <w:rPr>
          <w:lang w:val="en-US"/>
        </w:rPr>
        <w:t>sofosbuvir</w:t>
      </w:r>
      <w:r w:rsidRPr="0040783B">
        <w:t xml:space="preserve">, чтобы уменьшить риск рецидива. В это время неясно, увеличит ли продление лечения, с или без добавления </w:t>
      </w:r>
      <w:r w:rsidRPr="00D32325">
        <w:rPr>
          <w:lang w:val="en-US"/>
        </w:rPr>
        <w:t>RBV</w:t>
      </w:r>
      <w:r w:rsidRPr="0040783B">
        <w:t>, эффективность в генотипе 1</w:t>
      </w:r>
      <w:r w:rsidRPr="00D32325">
        <w:rPr>
          <w:lang w:val="en-US"/>
        </w:rPr>
        <w:t>a</w:t>
      </w:r>
      <w:r w:rsidRPr="0040783B">
        <w:t>–</w:t>
      </w:r>
      <w:r w:rsidRPr="00D32325">
        <w:rPr>
          <w:lang w:val="en-US"/>
        </w:rPr>
        <w:t>infected</w:t>
      </w:r>
      <w:r w:rsidRPr="0040783B">
        <w:t xml:space="preserve"> пациенты с мутацией </w:t>
      </w:r>
      <w:r w:rsidRPr="00D32325">
        <w:rPr>
          <w:lang w:val="en-US"/>
        </w:rPr>
        <w:t>Q</w:t>
      </w:r>
      <w:r w:rsidRPr="0040783B">
        <w:t>80</w:t>
      </w:r>
      <w:r w:rsidRPr="00D32325">
        <w:rPr>
          <w:lang w:val="en-US"/>
        </w:rPr>
        <w:t>K</w:t>
      </w:r>
      <w:r w:rsidRPr="0040783B">
        <w:t>. Учитывая более низкую долю ответивших у больных с циррозом, обоснованно избежать этого режима у больных с этой начальной мутацией.</w:t>
      </w:r>
    </w:p>
    <w:p w:rsidR="0040783B" w:rsidRPr="0040783B" w:rsidRDefault="0040783B" w:rsidP="00E36270">
      <w:pPr>
        <w:ind w:left="-5" w:right="15"/>
      </w:pPr>
      <w:r w:rsidRPr="0040783B">
        <w:t xml:space="preserve">Профили безопасности всех рекомендуемых режимов выше превосходны. Через многочисленные программы фазы </w:t>
      </w:r>
      <w:r w:rsidRPr="00D32325">
        <w:rPr>
          <w:lang w:val="en-US"/>
        </w:rPr>
        <w:t>III</w:t>
      </w:r>
      <w:r w:rsidRPr="0040783B">
        <w:t xml:space="preserve"> меньше чем 1% пациентов без цирроза прекратил лечение рано, и нежелательные явления были умеренными. Наиболее нежелательные явления произошли в </w:t>
      </w:r>
      <w:r w:rsidRPr="00D32325">
        <w:rPr>
          <w:lang w:val="en-US"/>
        </w:rPr>
        <w:t>RBV</w:t>
      </w:r>
      <w:r w:rsidRPr="0040783B">
        <w:t>-содержании рук. Ставки прекращения были выше для пациентов с циррозом (приблизительно 2% для некоторых испытаний), но все еще очень низко.</w:t>
      </w:r>
    </w:p>
    <w:p w:rsidR="0040783B" w:rsidRPr="0040783B" w:rsidRDefault="0040783B" w:rsidP="00E36270">
      <w:pPr>
        <w:pStyle w:val="2"/>
        <w:ind w:left="-5"/>
      </w:pPr>
      <w:r w:rsidRPr="00D32325">
        <w:rPr>
          <w:lang w:val="en-US"/>
        </w:rPr>
        <w:t>B</w:t>
      </w:r>
      <w:r w:rsidRPr="0040783B">
        <w:t>. Генотип 1</w:t>
      </w:r>
      <w:r w:rsidRPr="00D32325">
        <w:rPr>
          <w:lang w:val="en-US"/>
        </w:rPr>
        <w:t>b</w:t>
      </w:r>
    </w:p>
    <w:p w:rsidR="0040783B" w:rsidRPr="0040783B" w:rsidRDefault="0040783B" w:rsidP="00E36270">
      <w:pPr>
        <w:pBdr>
          <w:top w:val="single" w:sz="18" w:space="0" w:color="1B6F1B"/>
          <w:left w:val="single" w:sz="18" w:space="0" w:color="1B6F1B"/>
          <w:bottom w:val="single" w:sz="18" w:space="0" w:color="1B6F1B"/>
          <w:right w:val="single" w:sz="18" w:space="0" w:color="1B6F1B"/>
        </w:pBdr>
        <w:shd w:val="clear" w:color="auto" w:fill="FFFAF6"/>
        <w:spacing w:after="145" w:line="260" w:lineRule="auto"/>
        <w:ind w:left="260" w:right="154"/>
      </w:pPr>
      <w:r w:rsidRPr="0040783B">
        <w:rPr>
          <w:rFonts w:ascii="Calibri" w:eastAsia="Calibri" w:hAnsi="Calibri" w:cs="Calibri"/>
          <w:b/>
          <w:i/>
          <w:color w:val="145314"/>
          <w:sz w:val="24"/>
        </w:rPr>
        <w:t xml:space="preserve">Несколько вариантов с подобной эффективностью в целом рекомендуются для </w:t>
      </w:r>
      <w:r w:rsidRPr="00D32325">
        <w:rPr>
          <w:rFonts w:ascii="Calibri" w:eastAsia="Calibri" w:hAnsi="Calibri" w:cs="Calibri"/>
          <w:b/>
          <w:i/>
          <w:color w:val="145314"/>
          <w:sz w:val="24"/>
          <w:lang w:val="en-US"/>
        </w:rPr>
        <w:t>treatmentnaive</w:t>
      </w:r>
      <w:r w:rsidRPr="0040783B">
        <w:rPr>
          <w:rFonts w:ascii="Calibri" w:eastAsia="Calibri" w:hAnsi="Calibri" w:cs="Calibri"/>
          <w:b/>
          <w:i/>
          <w:color w:val="145314"/>
          <w:sz w:val="24"/>
        </w:rPr>
        <w:t xml:space="preserve"> пациентов с генотипом </w:t>
      </w:r>
      <w:r w:rsidRPr="00D32325">
        <w:rPr>
          <w:rFonts w:ascii="Calibri" w:eastAsia="Calibri" w:hAnsi="Calibri" w:cs="Calibri"/>
          <w:b/>
          <w:i/>
          <w:color w:val="145314"/>
          <w:sz w:val="24"/>
          <w:lang w:val="en-US"/>
        </w:rPr>
        <w:t>HCV</w:t>
      </w:r>
      <w:r w:rsidRPr="0040783B">
        <w:rPr>
          <w:rFonts w:ascii="Calibri" w:eastAsia="Calibri" w:hAnsi="Calibri" w:cs="Calibri"/>
          <w:b/>
          <w:i/>
          <w:color w:val="145314"/>
          <w:sz w:val="24"/>
        </w:rPr>
        <w:t xml:space="preserve"> 1</w:t>
      </w:r>
      <w:r w:rsidRPr="00D32325">
        <w:rPr>
          <w:rFonts w:ascii="Calibri" w:eastAsia="Calibri" w:hAnsi="Calibri" w:cs="Calibri"/>
          <w:b/>
          <w:i/>
          <w:color w:val="145314"/>
          <w:sz w:val="24"/>
          <w:lang w:val="en-US"/>
        </w:rPr>
        <w:t>b</w:t>
      </w:r>
      <w:r w:rsidRPr="0040783B">
        <w:rPr>
          <w:rFonts w:ascii="Calibri" w:eastAsia="Calibri" w:hAnsi="Calibri" w:cs="Calibri"/>
          <w:b/>
          <w:i/>
          <w:color w:val="145314"/>
          <w:sz w:val="24"/>
        </w:rPr>
        <w:t xml:space="preserve"> инфекция (перечисленный в алфавитном заказе; см. текст).</w:t>
      </w:r>
    </w:p>
    <w:p w:rsidR="0040783B" w:rsidRPr="0040783B" w:rsidRDefault="0040783B" w:rsidP="00E36270">
      <w:pPr>
        <w:pBdr>
          <w:top w:val="single" w:sz="18" w:space="0" w:color="1B6F1B"/>
          <w:left w:val="single" w:sz="18" w:space="0" w:color="1B6F1B"/>
          <w:bottom w:val="single" w:sz="18" w:space="0" w:color="1B6F1B"/>
          <w:right w:val="single" w:sz="18" w:space="0" w:color="1B6F1B"/>
        </w:pBdr>
        <w:shd w:val="clear" w:color="auto" w:fill="FFFAF6"/>
        <w:spacing w:after="196" w:line="266" w:lineRule="auto"/>
        <w:ind w:left="260" w:right="154"/>
      </w:pPr>
      <w:r w:rsidRPr="0040783B">
        <w:rPr>
          <w:rFonts w:ascii="Calibri" w:eastAsia="Calibri" w:hAnsi="Calibri" w:cs="Calibri"/>
          <w:b/>
          <w:color w:val="3077B8"/>
          <w:sz w:val="26"/>
        </w:rPr>
        <w:t xml:space="preserve">Ежедневный </w:t>
      </w:r>
      <w:r w:rsidRPr="00D32325">
        <w:rPr>
          <w:rFonts w:ascii="Calibri" w:eastAsia="Calibri" w:hAnsi="Calibri" w:cs="Calibri"/>
          <w:b/>
          <w:color w:val="3077B8"/>
          <w:sz w:val="26"/>
          <w:lang w:val="en-US"/>
        </w:rPr>
        <w:t>daclatasvir</w:t>
      </w:r>
      <w:r w:rsidRPr="0040783B">
        <w:rPr>
          <w:rFonts w:ascii="Calibri" w:eastAsia="Calibri" w:hAnsi="Calibri" w:cs="Calibri"/>
          <w:b/>
          <w:color w:val="3077B8"/>
          <w:sz w:val="26"/>
        </w:rPr>
        <w:t xml:space="preserve"> (60 мг*) и </w:t>
      </w:r>
      <w:r w:rsidRPr="00D32325">
        <w:rPr>
          <w:rFonts w:ascii="Calibri" w:eastAsia="Calibri" w:hAnsi="Calibri" w:cs="Calibri"/>
          <w:b/>
          <w:color w:val="3077B8"/>
          <w:sz w:val="26"/>
          <w:lang w:val="en-US"/>
        </w:rPr>
        <w:t>sofosbuvir</w:t>
      </w:r>
      <w:r w:rsidRPr="0040783B">
        <w:rPr>
          <w:rFonts w:ascii="Calibri" w:eastAsia="Calibri" w:hAnsi="Calibri" w:cs="Calibri"/>
          <w:b/>
          <w:color w:val="3077B8"/>
          <w:sz w:val="26"/>
        </w:rPr>
        <w:t xml:space="preserve"> (400 мг) в течение 12 недель (никакой цирроз) или 24 недель с или без основанного на весе </w:t>
      </w:r>
      <w:r w:rsidRPr="00D32325">
        <w:rPr>
          <w:rFonts w:ascii="Calibri" w:eastAsia="Calibri" w:hAnsi="Calibri" w:cs="Calibri"/>
          <w:b/>
          <w:color w:val="3077B8"/>
          <w:sz w:val="26"/>
          <w:lang w:val="en-US"/>
        </w:rPr>
        <w:t>RBV</w:t>
      </w:r>
      <w:r w:rsidRPr="0040783B">
        <w:rPr>
          <w:rFonts w:ascii="Calibri" w:eastAsia="Calibri" w:hAnsi="Calibri" w:cs="Calibri"/>
          <w:b/>
          <w:color w:val="3077B8"/>
          <w:sz w:val="26"/>
        </w:rPr>
        <w:t xml:space="preserve"> (цирроз) рекомендуется для наивных лечением пациентов с генотипом </w:t>
      </w:r>
      <w:r w:rsidRPr="00D32325">
        <w:rPr>
          <w:rFonts w:ascii="Calibri" w:eastAsia="Calibri" w:hAnsi="Calibri" w:cs="Calibri"/>
          <w:b/>
          <w:color w:val="3077B8"/>
          <w:sz w:val="26"/>
          <w:lang w:val="en-US"/>
        </w:rPr>
        <w:t>HCV</w:t>
      </w:r>
      <w:r w:rsidRPr="0040783B">
        <w:rPr>
          <w:rFonts w:ascii="Calibri" w:eastAsia="Calibri" w:hAnsi="Calibri" w:cs="Calibri"/>
          <w:b/>
          <w:color w:val="3077B8"/>
          <w:sz w:val="26"/>
        </w:rPr>
        <w:t xml:space="preserve"> 1</w:t>
      </w:r>
      <w:r w:rsidRPr="00D32325">
        <w:rPr>
          <w:rFonts w:ascii="Calibri" w:eastAsia="Calibri" w:hAnsi="Calibri" w:cs="Calibri"/>
          <w:b/>
          <w:color w:val="3077B8"/>
          <w:sz w:val="26"/>
          <w:lang w:val="en-US"/>
        </w:rPr>
        <w:t>b</w:t>
      </w:r>
      <w:r w:rsidRPr="0040783B">
        <w:rPr>
          <w:rFonts w:ascii="Calibri" w:eastAsia="Calibri" w:hAnsi="Calibri" w:cs="Calibri"/>
          <w:b/>
          <w:color w:val="3077B8"/>
          <w:sz w:val="26"/>
        </w:rPr>
        <w:t xml:space="preserve"> инфекция.</w:t>
      </w:r>
    </w:p>
    <w:p w:rsidR="0040783B" w:rsidRPr="0040783B" w:rsidRDefault="0040783B" w:rsidP="00E36270">
      <w:pPr>
        <w:pBdr>
          <w:top w:val="single" w:sz="18" w:space="0" w:color="1B6F1B"/>
          <w:left w:val="single" w:sz="18" w:space="0" w:color="1B6F1B"/>
          <w:bottom w:val="single" w:sz="18" w:space="0" w:color="1B6F1B"/>
          <w:right w:val="single" w:sz="18" w:space="0" w:color="1B6F1B"/>
        </w:pBdr>
        <w:shd w:val="clear" w:color="auto" w:fill="FFFAF6"/>
        <w:spacing w:after="288" w:line="265" w:lineRule="auto"/>
        <w:ind w:left="260" w:right="154"/>
      </w:pPr>
      <w:r w:rsidRPr="0040783B">
        <w:rPr>
          <w:rFonts w:ascii="Calibri" w:eastAsia="Calibri" w:hAnsi="Calibri" w:cs="Calibri"/>
          <w:b/>
        </w:rPr>
        <w:t xml:space="preserve">Рейтинг: </w:t>
      </w:r>
      <w:r w:rsidRPr="0040783B">
        <w:t xml:space="preserve">Класс </w:t>
      </w:r>
      <w:r w:rsidRPr="00D32325">
        <w:rPr>
          <w:lang w:val="en-US"/>
        </w:rPr>
        <w:t>I</w:t>
      </w:r>
      <w:r w:rsidRPr="0040783B">
        <w:t xml:space="preserve">, Уровень </w:t>
      </w:r>
      <w:r w:rsidRPr="00D32325">
        <w:rPr>
          <w:lang w:val="en-US"/>
        </w:rPr>
        <w:t>B</w:t>
      </w:r>
      <w:r w:rsidRPr="0040783B">
        <w:t xml:space="preserve"> (никакой цирроз); Класс </w:t>
      </w:r>
      <w:r w:rsidRPr="00D32325">
        <w:rPr>
          <w:lang w:val="en-US"/>
        </w:rPr>
        <w:t>IIa</w:t>
      </w:r>
      <w:r w:rsidRPr="0040783B">
        <w:t xml:space="preserve">, Уровень </w:t>
      </w:r>
      <w:r w:rsidRPr="00D32325">
        <w:rPr>
          <w:lang w:val="en-US"/>
        </w:rPr>
        <w:t>B</w:t>
      </w:r>
      <w:r w:rsidRPr="0040783B">
        <w:t xml:space="preserve"> (цирроз)</w:t>
      </w:r>
    </w:p>
    <w:p w:rsidR="0040783B" w:rsidRPr="0040783B" w:rsidRDefault="0040783B" w:rsidP="00E36270">
      <w:pPr>
        <w:pBdr>
          <w:top w:val="single" w:sz="18" w:space="0" w:color="1B6F1B"/>
          <w:left w:val="single" w:sz="18" w:space="0" w:color="1B6F1B"/>
          <w:bottom w:val="single" w:sz="18" w:space="0" w:color="1B6F1B"/>
          <w:right w:val="single" w:sz="18" w:space="0" w:color="1B6F1B"/>
        </w:pBdr>
        <w:shd w:val="clear" w:color="auto" w:fill="FFFAF6"/>
        <w:spacing w:after="196" w:line="266" w:lineRule="auto"/>
        <w:ind w:left="260" w:right="154"/>
      </w:pPr>
      <w:r w:rsidRPr="0040783B">
        <w:rPr>
          <w:rFonts w:ascii="Calibri" w:eastAsia="Calibri" w:hAnsi="Calibri" w:cs="Calibri"/>
          <w:b/>
          <w:color w:val="3077B8"/>
          <w:sz w:val="26"/>
        </w:rPr>
        <w:t xml:space="preserve">Ежедневная комбинация фиксированной дозы </w:t>
      </w:r>
      <w:r w:rsidRPr="00D32325">
        <w:rPr>
          <w:rFonts w:ascii="Calibri" w:eastAsia="Calibri" w:hAnsi="Calibri" w:cs="Calibri"/>
          <w:b/>
          <w:color w:val="3077B8"/>
          <w:sz w:val="26"/>
          <w:lang w:val="en-US"/>
        </w:rPr>
        <w:t>ledipasvir</w:t>
      </w:r>
      <w:r w:rsidRPr="0040783B">
        <w:rPr>
          <w:rFonts w:ascii="Calibri" w:eastAsia="Calibri" w:hAnsi="Calibri" w:cs="Calibri"/>
          <w:b/>
          <w:color w:val="3077B8"/>
          <w:sz w:val="26"/>
        </w:rPr>
        <w:t xml:space="preserve"> (90 мг)/</w:t>
      </w:r>
      <w:r w:rsidRPr="00D32325">
        <w:rPr>
          <w:rFonts w:ascii="Calibri" w:eastAsia="Calibri" w:hAnsi="Calibri" w:cs="Calibri"/>
          <w:b/>
          <w:color w:val="3077B8"/>
          <w:sz w:val="26"/>
          <w:lang w:val="en-US"/>
        </w:rPr>
        <w:t>sofosbuvir</w:t>
      </w:r>
      <w:r w:rsidRPr="0040783B">
        <w:rPr>
          <w:rFonts w:ascii="Calibri" w:eastAsia="Calibri" w:hAnsi="Calibri" w:cs="Calibri"/>
          <w:b/>
          <w:color w:val="3077B8"/>
          <w:sz w:val="26"/>
        </w:rPr>
        <w:t xml:space="preserve"> (400 мг) в течение 12 недель рекомендуется для наивных лечением пациентов с генотипом </w:t>
      </w:r>
      <w:r w:rsidRPr="00D32325">
        <w:rPr>
          <w:rFonts w:ascii="Calibri" w:eastAsia="Calibri" w:hAnsi="Calibri" w:cs="Calibri"/>
          <w:b/>
          <w:color w:val="3077B8"/>
          <w:sz w:val="26"/>
          <w:lang w:val="en-US"/>
        </w:rPr>
        <w:t>HCV</w:t>
      </w:r>
      <w:r w:rsidRPr="0040783B">
        <w:rPr>
          <w:rFonts w:ascii="Calibri" w:eastAsia="Calibri" w:hAnsi="Calibri" w:cs="Calibri"/>
          <w:b/>
          <w:color w:val="3077B8"/>
          <w:sz w:val="26"/>
        </w:rPr>
        <w:t xml:space="preserve"> 1</w:t>
      </w:r>
      <w:r w:rsidRPr="00D32325">
        <w:rPr>
          <w:rFonts w:ascii="Calibri" w:eastAsia="Calibri" w:hAnsi="Calibri" w:cs="Calibri"/>
          <w:b/>
          <w:color w:val="3077B8"/>
          <w:sz w:val="26"/>
          <w:lang w:val="en-US"/>
        </w:rPr>
        <w:t>b</w:t>
      </w:r>
      <w:r w:rsidRPr="0040783B">
        <w:rPr>
          <w:rFonts w:ascii="Calibri" w:eastAsia="Calibri" w:hAnsi="Calibri" w:cs="Calibri"/>
          <w:b/>
          <w:color w:val="3077B8"/>
          <w:sz w:val="26"/>
        </w:rPr>
        <w:t xml:space="preserve"> инфекция.</w:t>
      </w:r>
    </w:p>
    <w:p w:rsidR="0040783B" w:rsidRPr="0040783B" w:rsidRDefault="0040783B" w:rsidP="00E36270">
      <w:pPr>
        <w:pBdr>
          <w:top w:val="single" w:sz="18" w:space="0" w:color="1B6F1B"/>
          <w:left w:val="single" w:sz="18" w:space="0" w:color="1B6F1B"/>
          <w:bottom w:val="single" w:sz="18" w:space="0" w:color="1B6F1B"/>
          <w:right w:val="single" w:sz="18" w:space="0" w:color="1B6F1B"/>
        </w:pBdr>
        <w:shd w:val="clear" w:color="auto" w:fill="FFFAF6"/>
        <w:spacing w:after="288" w:line="265" w:lineRule="auto"/>
        <w:ind w:left="260" w:right="154"/>
      </w:pPr>
      <w:r w:rsidRPr="0040783B">
        <w:rPr>
          <w:rFonts w:ascii="Calibri" w:eastAsia="Calibri" w:hAnsi="Calibri" w:cs="Calibri"/>
          <w:b/>
        </w:rPr>
        <w:t xml:space="preserve">Рейтинг: </w:t>
      </w:r>
      <w:r w:rsidRPr="0040783B">
        <w:t xml:space="preserve">класс </w:t>
      </w:r>
      <w:r w:rsidRPr="00D32325">
        <w:rPr>
          <w:lang w:val="en-US"/>
        </w:rPr>
        <w:t>I</w:t>
      </w:r>
      <w:r w:rsidRPr="0040783B">
        <w:t xml:space="preserve">, уровень </w:t>
      </w:r>
      <w:r w:rsidRPr="00D32325">
        <w:rPr>
          <w:lang w:val="en-US"/>
        </w:rPr>
        <w:t>A</w:t>
      </w:r>
    </w:p>
    <w:p w:rsidR="0040783B" w:rsidRPr="0040783B" w:rsidRDefault="0040783B" w:rsidP="00E36270">
      <w:pPr>
        <w:pBdr>
          <w:top w:val="single" w:sz="18" w:space="0" w:color="1B6F1B"/>
          <w:left w:val="single" w:sz="18" w:space="0" w:color="1B6F1B"/>
          <w:bottom w:val="single" w:sz="18" w:space="0" w:color="1B6F1B"/>
          <w:right w:val="single" w:sz="18" w:space="0" w:color="1B6F1B"/>
        </w:pBdr>
        <w:shd w:val="clear" w:color="auto" w:fill="FFFAF6"/>
        <w:spacing w:after="196" w:line="266" w:lineRule="auto"/>
        <w:ind w:left="260" w:right="154"/>
      </w:pPr>
      <w:r w:rsidRPr="0040783B">
        <w:rPr>
          <w:rFonts w:ascii="Calibri" w:eastAsia="Calibri" w:hAnsi="Calibri" w:cs="Calibri"/>
          <w:b/>
          <w:color w:val="3077B8"/>
          <w:sz w:val="26"/>
        </w:rPr>
        <w:t xml:space="preserve">Ежедневная комбинация фиксированной дозы </w:t>
      </w:r>
      <w:r w:rsidRPr="00D32325">
        <w:rPr>
          <w:rFonts w:ascii="Calibri" w:eastAsia="Calibri" w:hAnsi="Calibri" w:cs="Calibri"/>
          <w:b/>
          <w:color w:val="3077B8"/>
          <w:sz w:val="26"/>
          <w:lang w:val="en-US"/>
        </w:rPr>
        <w:t>paritaprevir</w:t>
      </w:r>
      <w:r w:rsidRPr="0040783B">
        <w:rPr>
          <w:rFonts w:ascii="Calibri" w:eastAsia="Calibri" w:hAnsi="Calibri" w:cs="Calibri"/>
          <w:b/>
          <w:color w:val="3077B8"/>
          <w:sz w:val="26"/>
        </w:rPr>
        <w:t xml:space="preserve"> (150 мг)/</w:t>
      </w:r>
      <w:r w:rsidRPr="00D32325">
        <w:rPr>
          <w:rFonts w:ascii="Calibri" w:eastAsia="Calibri" w:hAnsi="Calibri" w:cs="Calibri"/>
          <w:b/>
          <w:color w:val="3077B8"/>
          <w:sz w:val="26"/>
          <w:lang w:val="en-US"/>
        </w:rPr>
        <w:t>ritonavir</w:t>
      </w:r>
      <w:r w:rsidRPr="0040783B">
        <w:rPr>
          <w:rFonts w:ascii="Calibri" w:eastAsia="Calibri" w:hAnsi="Calibri" w:cs="Calibri"/>
          <w:b/>
          <w:color w:val="3077B8"/>
          <w:sz w:val="26"/>
        </w:rPr>
        <w:t xml:space="preserve"> (100 мг)/</w:t>
      </w:r>
      <w:r w:rsidRPr="00D32325">
        <w:rPr>
          <w:rFonts w:ascii="Calibri" w:eastAsia="Calibri" w:hAnsi="Calibri" w:cs="Calibri"/>
          <w:b/>
          <w:color w:val="3077B8"/>
          <w:sz w:val="26"/>
          <w:lang w:val="en-US"/>
        </w:rPr>
        <w:t>ombitasvir</w:t>
      </w:r>
      <w:r w:rsidRPr="0040783B">
        <w:rPr>
          <w:rFonts w:ascii="Calibri" w:eastAsia="Calibri" w:hAnsi="Calibri" w:cs="Calibri"/>
          <w:b/>
          <w:color w:val="3077B8"/>
          <w:sz w:val="26"/>
        </w:rPr>
        <w:t xml:space="preserve"> (25 мг) плюс два раза в день дозируемый </w:t>
      </w:r>
      <w:r w:rsidRPr="00D32325">
        <w:rPr>
          <w:rFonts w:ascii="Calibri" w:eastAsia="Calibri" w:hAnsi="Calibri" w:cs="Calibri"/>
          <w:b/>
          <w:color w:val="3077B8"/>
          <w:sz w:val="26"/>
          <w:lang w:val="en-US"/>
        </w:rPr>
        <w:t>dasabuvir</w:t>
      </w:r>
      <w:r w:rsidRPr="0040783B">
        <w:rPr>
          <w:rFonts w:ascii="Calibri" w:eastAsia="Calibri" w:hAnsi="Calibri" w:cs="Calibri"/>
          <w:b/>
          <w:color w:val="3077B8"/>
          <w:sz w:val="26"/>
        </w:rPr>
        <w:t xml:space="preserve"> (250 мг) в течение 12 недель рекомендуется для наивных лечением пациентов с генотипом </w:t>
      </w:r>
      <w:r w:rsidRPr="00D32325">
        <w:rPr>
          <w:rFonts w:ascii="Calibri" w:eastAsia="Calibri" w:hAnsi="Calibri" w:cs="Calibri"/>
          <w:b/>
          <w:color w:val="3077B8"/>
          <w:sz w:val="26"/>
          <w:lang w:val="en-US"/>
        </w:rPr>
        <w:t>HCV</w:t>
      </w:r>
      <w:r w:rsidRPr="0040783B">
        <w:rPr>
          <w:rFonts w:ascii="Calibri" w:eastAsia="Calibri" w:hAnsi="Calibri" w:cs="Calibri"/>
          <w:b/>
          <w:color w:val="3077B8"/>
          <w:sz w:val="26"/>
        </w:rPr>
        <w:t xml:space="preserve"> 1</w:t>
      </w:r>
      <w:r w:rsidRPr="00D32325">
        <w:rPr>
          <w:rFonts w:ascii="Calibri" w:eastAsia="Calibri" w:hAnsi="Calibri" w:cs="Calibri"/>
          <w:b/>
          <w:color w:val="3077B8"/>
          <w:sz w:val="26"/>
          <w:lang w:val="en-US"/>
        </w:rPr>
        <w:t>b</w:t>
      </w:r>
      <w:r w:rsidRPr="0040783B">
        <w:rPr>
          <w:rFonts w:ascii="Calibri" w:eastAsia="Calibri" w:hAnsi="Calibri" w:cs="Calibri"/>
          <w:b/>
          <w:color w:val="3077B8"/>
          <w:sz w:val="26"/>
        </w:rPr>
        <w:t xml:space="preserve"> инфекция.</w:t>
      </w:r>
    </w:p>
    <w:p w:rsidR="0040783B" w:rsidRPr="0040783B" w:rsidRDefault="0040783B" w:rsidP="00E36270">
      <w:pPr>
        <w:pBdr>
          <w:top w:val="single" w:sz="18" w:space="0" w:color="1B6F1B"/>
          <w:left w:val="single" w:sz="18" w:space="0" w:color="1B6F1B"/>
          <w:bottom w:val="single" w:sz="18" w:space="0" w:color="1B6F1B"/>
          <w:right w:val="single" w:sz="18" w:space="0" w:color="1B6F1B"/>
        </w:pBdr>
        <w:shd w:val="clear" w:color="auto" w:fill="FFFAF6"/>
        <w:spacing w:after="288" w:line="265" w:lineRule="auto"/>
        <w:ind w:left="260" w:right="154"/>
      </w:pPr>
      <w:r w:rsidRPr="0040783B">
        <w:rPr>
          <w:rFonts w:ascii="Calibri" w:eastAsia="Calibri" w:hAnsi="Calibri" w:cs="Calibri"/>
          <w:b/>
        </w:rPr>
        <w:t xml:space="preserve">Рейтинг: </w:t>
      </w:r>
      <w:r w:rsidRPr="0040783B">
        <w:t xml:space="preserve">класс </w:t>
      </w:r>
      <w:r w:rsidRPr="00D32325">
        <w:rPr>
          <w:lang w:val="en-US"/>
        </w:rPr>
        <w:t>I</w:t>
      </w:r>
      <w:r w:rsidRPr="0040783B">
        <w:t xml:space="preserve">, уровень </w:t>
      </w:r>
      <w:r w:rsidRPr="00D32325">
        <w:rPr>
          <w:lang w:val="en-US"/>
        </w:rPr>
        <w:t>A</w:t>
      </w:r>
    </w:p>
    <w:p w:rsidR="0040783B" w:rsidRPr="0040783B" w:rsidRDefault="0040783B" w:rsidP="00E36270">
      <w:pPr>
        <w:pBdr>
          <w:top w:val="single" w:sz="18" w:space="0" w:color="1B6F1B"/>
          <w:left w:val="single" w:sz="18" w:space="0" w:color="1B6F1B"/>
          <w:bottom w:val="single" w:sz="18" w:space="0" w:color="1B6F1B"/>
          <w:right w:val="single" w:sz="18" w:space="0" w:color="1B6F1B"/>
        </w:pBdr>
        <w:shd w:val="clear" w:color="auto" w:fill="FFFAF6"/>
        <w:spacing w:after="82" w:line="266" w:lineRule="auto"/>
        <w:ind w:left="260" w:right="154"/>
      </w:pPr>
      <w:r w:rsidRPr="0040783B">
        <w:rPr>
          <w:rFonts w:ascii="Calibri" w:eastAsia="Calibri" w:hAnsi="Calibri" w:cs="Calibri"/>
          <w:b/>
          <w:color w:val="3077B8"/>
          <w:sz w:val="26"/>
        </w:rPr>
        <w:t xml:space="preserve">Ежедневный </w:t>
      </w:r>
      <w:r w:rsidRPr="00D32325">
        <w:rPr>
          <w:rFonts w:ascii="Calibri" w:eastAsia="Calibri" w:hAnsi="Calibri" w:cs="Calibri"/>
          <w:b/>
          <w:color w:val="3077B8"/>
          <w:sz w:val="26"/>
          <w:lang w:val="en-US"/>
        </w:rPr>
        <w:t>simeprevir</w:t>
      </w:r>
      <w:r w:rsidRPr="0040783B">
        <w:rPr>
          <w:rFonts w:ascii="Calibri" w:eastAsia="Calibri" w:hAnsi="Calibri" w:cs="Calibri"/>
          <w:b/>
          <w:color w:val="3077B8"/>
          <w:sz w:val="26"/>
        </w:rPr>
        <w:t xml:space="preserve"> (150 мг) плюс </w:t>
      </w:r>
      <w:r w:rsidRPr="00D32325">
        <w:rPr>
          <w:rFonts w:ascii="Calibri" w:eastAsia="Calibri" w:hAnsi="Calibri" w:cs="Calibri"/>
          <w:b/>
          <w:color w:val="3077B8"/>
          <w:sz w:val="26"/>
          <w:lang w:val="en-US"/>
        </w:rPr>
        <w:t>sofosbuvir</w:t>
      </w:r>
      <w:r w:rsidRPr="0040783B">
        <w:rPr>
          <w:rFonts w:ascii="Calibri" w:eastAsia="Calibri" w:hAnsi="Calibri" w:cs="Calibri"/>
          <w:b/>
          <w:color w:val="3077B8"/>
          <w:sz w:val="26"/>
        </w:rPr>
        <w:t xml:space="preserve"> (400 мг) в течение 12 недель (никакой цирроз) или 24 недель с или без основанного на весе </w:t>
      </w:r>
      <w:r w:rsidRPr="00D32325">
        <w:rPr>
          <w:rFonts w:ascii="Calibri" w:eastAsia="Calibri" w:hAnsi="Calibri" w:cs="Calibri"/>
          <w:b/>
          <w:color w:val="3077B8"/>
          <w:sz w:val="26"/>
          <w:lang w:val="en-US"/>
        </w:rPr>
        <w:t>RBV</w:t>
      </w:r>
      <w:r w:rsidRPr="0040783B">
        <w:rPr>
          <w:rFonts w:ascii="Calibri" w:eastAsia="Calibri" w:hAnsi="Calibri" w:cs="Calibri"/>
          <w:b/>
          <w:color w:val="3077B8"/>
          <w:sz w:val="26"/>
        </w:rPr>
        <w:t xml:space="preserve"> (цирроз) рекомендуется для наивных лечением пациентов с генотипом </w:t>
      </w:r>
      <w:r w:rsidRPr="00D32325">
        <w:rPr>
          <w:rFonts w:ascii="Calibri" w:eastAsia="Calibri" w:hAnsi="Calibri" w:cs="Calibri"/>
          <w:b/>
          <w:color w:val="3077B8"/>
          <w:sz w:val="26"/>
          <w:lang w:val="en-US"/>
        </w:rPr>
        <w:t>HCV</w:t>
      </w:r>
      <w:r w:rsidRPr="0040783B">
        <w:rPr>
          <w:rFonts w:ascii="Calibri" w:eastAsia="Calibri" w:hAnsi="Calibri" w:cs="Calibri"/>
          <w:b/>
          <w:color w:val="3077B8"/>
          <w:sz w:val="26"/>
        </w:rPr>
        <w:t xml:space="preserve"> 1</w:t>
      </w:r>
      <w:r w:rsidRPr="00D32325">
        <w:rPr>
          <w:rFonts w:ascii="Calibri" w:eastAsia="Calibri" w:hAnsi="Calibri" w:cs="Calibri"/>
          <w:b/>
          <w:color w:val="3077B8"/>
          <w:sz w:val="26"/>
          <w:lang w:val="en-US"/>
        </w:rPr>
        <w:t>b</w:t>
      </w:r>
      <w:r w:rsidRPr="0040783B">
        <w:rPr>
          <w:rFonts w:ascii="Calibri" w:eastAsia="Calibri" w:hAnsi="Calibri" w:cs="Calibri"/>
          <w:b/>
          <w:color w:val="3077B8"/>
          <w:sz w:val="26"/>
        </w:rPr>
        <w:t xml:space="preserve"> инфекция.</w:t>
      </w:r>
    </w:p>
    <w:p w:rsidR="0040783B" w:rsidRPr="0040783B" w:rsidRDefault="0040783B" w:rsidP="00E36270">
      <w:pPr>
        <w:pBdr>
          <w:top w:val="single" w:sz="18" w:space="0" w:color="1B6F1B"/>
          <w:left w:val="single" w:sz="18" w:space="0" w:color="1B6F1B"/>
          <w:bottom w:val="single" w:sz="18" w:space="0" w:color="1B6F1B"/>
          <w:right w:val="single" w:sz="18" w:space="0" w:color="1B6F1B"/>
        </w:pBdr>
        <w:shd w:val="clear" w:color="auto" w:fill="FFFAF6"/>
        <w:spacing w:after="0" w:line="265" w:lineRule="auto"/>
        <w:ind w:left="260" w:right="154"/>
      </w:pPr>
      <w:r w:rsidRPr="0040783B">
        <w:rPr>
          <w:rFonts w:ascii="Calibri" w:eastAsia="Calibri" w:hAnsi="Calibri" w:cs="Calibri"/>
          <w:b/>
        </w:rPr>
        <w:t xml:space="preserve">Рейтинг: </w:t>
      </w:r>
      <w:r w:rsidRPr="0040783B">
        <w:t xml:space="preserve">класс </w:t>
      </w:r>
      <w:r w:rsidRPr="00D32325">
        <w:rPr>
          <w:lang w:val="en-US"/>
        </w:rPr>
        <w:t>I</w:t>
      </w:r>
      <w:r w:rsidRPr="0040783B">
        <w:t xml:space="preserve">, уровень </w:t>
      </w:r>
      <w:r w:rsidRPr="00D32325">
        <w:rPr>
          <w:lang w:val="en-US"/>
        </w:rPr>
        <w:t>A</w:t>
      </w:r>
    </w:p>
    <w:p w:rsidR="0040783B" w:rsidRPr="0040783B" w:rsidRDefault="0040783B" w:rsidP="00E36270">
      <w:pPr>
        <w:pBdr>
          <w:top w:val="single" w:sz="18" w:space="0" w:color="1B6F1B"/>
          <w:left w:val="single" w:sz="18" w:space="0" w:color="1B6F1B"/>
          <w:bottom w:val="single" w:sz="18" w:space="0" w:color="1B6F1B"/>
          <w:right w:val="single" w:sz="18" w:space="0" w:color="1B6F1B"/>
        </w:pBdr>
        <w:shd w:val="clear" w:color="auto" w:fill="FFFAF6"/>
        <w:spacing w:after="3"/>
        <w:ind w:left="250" w:right="154"/>
      </w:pPr>
      <w:r w:rsidRPr="0040783B">
        <w:t xml:space="preserve"> </w:t>
      </w:r>
    </w:p>
    <w:p w:rsidR="0040783B" w:rsidRPr="0040783B" w:rsidRDefault="0040783B" w:rsidP="00E36270">
      <w:pPr>
        <w:pBdr>
          <w:top w:val="single" w:sz="18" w:space="0" w:color="1B6F1B"/>
          <w:left w:val="single" w:sz="18" w:space="0" w:color="1B6F1B"/>
          <w:bottom w:val="single" w:sz="18" w:space="0" w:color="1B6F1B"/>
          <w:right w:val="single" w:sz="18" w:space="0" w:color="1B6F1B"/>
        </w:pBdr>
        <w:shd w:val="clear" w:color="auto" w:fill="FFFAF6"/>
        <w:spacing w:after="703" w:line="265" w:lineRule="auto"/>
        <w:ind w:left="260" w:right="154"/>
      </w:pPr>
      <w:r w:rsidRPr="0040783B">
        <w:t xml:space="preserve">*Доза </w:t>
      </w:r>
      <w:r w:rsidRPr="00D32325">
        <w:rPr>
          <w:lang w:val="en-US"/>
        </w:rPr>
        <w:t>daclatasvir</w:t>
      </w:r>
      <w:r w:rsidRPr="0040783B">
        <w:t xml:space="preserve">, возможно, должна увеличиться или уменьшиться, когда используется сопутствующе с индукторами </w:t>
      </w:r>
      <w:r w:rsidRPr="00D32325">
        <w:rPr>
          <w:lang w:val="en-US"/>
        </w:rPr>
        <w:t>P</w:t>
      </w:r>
      <w:r w:rsidRPr="0040783B">
        <w:t>450 3</w:t>
      </w:r>
      <w:r w:rsidRPr="00D32325">
        <w:rPr>
          <w:lang w:val="en-US"/>
        </w:rPr>
        <w:t>A</w:t>
      </w:r>
      <w:r w:rsidRPr="0040783B">
        <w:t xml:space="preserve">/4 цитохрома и ингибиторами, соответственно. См. информация о предписании и секция на </w:t>
      </w:r>
      <w:hyperlink r:id="rId43">
        <w:r w:rsidRPr="0040783B">
          <w:rPr>
            <w:rFonts w:ascii="Calibri" w:eastAsia="Calibri" w:hAnsi="Calibri" w:cs="Calibri"/>
            <w:b/>
            <w:color w:val="0000FF"/>
            <w:u w:val="single" w:color="0000FF"/>
          </w:rPr>
          <w:t xml:space="preserve">коинфекции </w:t>
        </w:r>
        <w:r w:rsidRPr="00D32325">
          <w:rPr>
            <w:rFonts w:ascii="Calibri" w:eastAsia="Calibri" w:hAnsi="Calibri" w:cs="Calibri"/>
            <w:b/>
            <w:color w:val="0000FF"/>
            <w:u w:val="single" w:color="0000FF"/>
            <w:lang w:val="en-US"/>
          </w:rPr>
          <w:t>HIV</w:t>
        </w:r>
        <w:r w:rsidRPr="0040783B">
          <w:rPr>
            <w:rFonts w:ascii="Calibri" w:eastAsia="Calibri" w:hAnsi="Calibri" w:cs="Calibri"/>
            <w:b/>
            <w:color w:val="0000FF"/>
            <w:u w:val="single" w:color="0000FF"/>
          </w:rPr>
          <w:t>/</w:t>
        </w:r>
        <w:r w:rsidRPr="00D32325">
          <w:rPr>
            <w:rFonts w:ascii="Calibri" w:eastAsia="Calibri" w:hAnsi="Calibri" w:cs="Calibri"/>
            <w:b/>
            <w:color w:val="0000FF"/>
            <w:u w:val="single" w:color="0000FF"/>
            <w:lang w:val="en-US"/>
          </w:rPr>
          <w:t>HCV</w:t>
        </w:r>
      </w:hyperlink>
      <w:r w:rsidRPr="0040783B">
        <w:rPr>
          <w:rFonts w:ascii="Calibri" w:eastAsia="Calibri" w:hAnsi="Calibri" w:cs="Calibri"/>
          <w:b/>
        </w:rPr>
        <w:t xml:space="preserve"> </w:t>
      </w:r>
      <w:r w:rsidRPr="0040783B">
        <w:rPr>
          <w:rFonts w:ascii="Calibri" w:eastAsia="Calibri" w:hAnsi="Calibri" w:cs="Calibri"/>
          <w:b/>
          <w:sz w:val="15"/>
        </w:rPr>
        <w:t>[11]</w:t>
      </w:r>
      <w:r w:rsidRPr="0040783B">
        <w:t xml:space="preserve"> для пациентов на антиретровирусной терапии.</w:t>
      </w:r>
    </w:p>
    <w:p w:rsidR="0040783B" w:rsidRPr="0040783B" w:rsidRDefault="0040783B" w:rsidP="00E36270">
      <w:pPr>
        <w:ind w:left="-5" w:right="15"/>
      </w:pPr>
      <w:r w:rsidRPr="0040783B">
        <w:t xml:space="preserve">Для генотипа </w:t>
      </w:r>
      <w:r w:rsidRPr="00D32325">
        <w:rPr>
          <w:lang w:val="en-US"/>
        </w:rPr>
        <w:t>HCV</w:t>
      </w:r>
      <w:r w:rsidRPr="0040783B">
        <w:t xml:space="preserve"> 1</w:t>
      </w:r>
      <w:r w:rsidRPr="00D32325">
        <w:rPr>
          <w:lang w:val="en-US"/>
        </w:rPr>
        <w:t>b</w:t>
      </w:r>
      <w:r w:rsidRPr="0040783B">
        <w:t>–</w:t>
      </w:r>
      <w:r w:rsidRPr="00D32325">
        <w:rPr>
          <w:lang w:val="en-US"/>
        </w:rPr>
        <w:t>infected</w:t>
      </w:r>
      <w:r w:rsidRPr="0040783B">
        <w:t>, наивных лечением пациентов, существует 4 режима сопоставимой эффективности, как обрисовано в общих чертах выше.</w:t>
      </w:r>
    </w:p>
    <w:p w:rsidR="0040783B" w:rsidRPr="0040783B" w:rsidRDefault="0040783B" w:rsidP="00E36270">
      <w:pPr>
        <w:ind w:left="-5" w:right="15"/>
      </w:pPr>
      <w:r w:rsidRPr="0040783B">
        <w:t xml:space="preserve">Нет никакого измеримого различия, продемонстрированного до настоящего времени в реакции лечения на </w:t>
      </w:r>
      <w:r w:rsidRPr="00D32325">
        <w:rPr>
          <w:lang w:val="en-US"/>
        </w:rPr>
        <w:t>daclatasvir</w:t>
      </w:r>
      <w:r w:rsidRPr="0040783B">
        <w:t xml:space="preserve"> и </w:t>
      </w:r>
      <w:r w:rsidRPr="00D32325">
        <w:rPr>
          <w:lang w:val="en-US"/>
        </w:rPr>
        <w:t>sofosbuvir</w:t>
      </w:r>
      <w:r w:rsidRPr="0040783B">
        <w:t xml:space="preserve"> или </w:t>
      </w:r>
      <w:r w:rsidRPr="00D32325">
        <w:rPr>
          <w:lang w:val="en-US"/>
        </w:rPr>
        <w:t>ledipasvir</w:t>
      </w:r>
      <w:r w:rsidRPr="0040783B">
        <w:t>/</w:t>
      </w:r>
      <w:r w:rsidRPr="00D32325">
        <w:rPr>
          <w:lang w:val="en-US"/>
        </w:rPr>
        <w:t>sofosbuvir</w:t>
      </w:r>
      <w:r w:rsidRPr="0040783B">
        <w:t xml:space="preserve"> для генотипа </w:t>
      </w:r>
      <w:r w:rsidRPr="00D32325">
        <w:rPr>
          <w:lang w:val="en-US"/>
        </w:rPr>
        <w:t>HCV</w:t>
      </w:r>
      <w:r w:rsidRPr="0040783B">
        <w:t xml:space="preserve"> 1 подтипы, таким образом доказательства поддержки остаются тем же что касается генотипа </w:t>
      </w:r>
      <w:r w:rsidRPr="00D32325">
        <w:rPr>
          <w:lang w:val="en-US"/>
        </w:rPr>
        <w:t>HCV</w:t>
      </w:r>
      <w:r w:rsidRPr="0040783B">
        <w:t xml:space="preserve"> 1</w:t>
      </w:r>
      <w:r w:rsidRPr="00D32325">
        <w:rPr>
          <w:lang w:val="en-US"/>
        </w:rPr>
        <w:t>a</w:t>
      </w:r>
      <w:r w:rsidRPr="0040783B">
        <w:t>–</w:t>
      </w:r>
      <w:r w:rsidRPr="00D32325">
        <w:rPr>
          <w:lang w:val="en-US"/>
        </w:rPr>
        <w:t>infected</w:t>
      </w:r>
      <w:r w:rsidRPr="0040783B">
        <w:t xml:space="preserve"> пациенты (см. </w:t>
      </w:r>
      <w:r w:rsidRPr="0040783B">
        <w:rPr>
          <w:rFonts w:ascii="Calibri" w:eastAsia="Calibri" w:hAnsi="Calibri" w:cs="Calibri"/>
          <w:b/>
          <w:color w:val="0000FF"/>
          <w:u w:val="single" w:color="0000FF"/>
        </w:rPr>
        <w:t>Генотип 1</w:t>
      </w:r>
      <w:r w:rsidRPr="0040783B">
        <w:t xml:space="preserve">). В СОЮЗНИКЕ 2 руки </w:t>
      </w:r>
      <w:r w:rsidRPr="00D32325">
        <w:rPr>
          <w:lang w:val="en-US"/>
        </w:rPr>
        <w:t>daclatasvir</w:t>
      </w:r>
      <w:r w:rsidRPr="0040783B">
        <w:t xml:space="preserve"> и </w:t>
      </w:r>
      <w:r w:rsidRPr="00D32325">
        <w:rPr>
          <w:lang w:val="en-US"/>
        </w:rPr>
        <w:t>sofosbuvir</w:t>
      </w:r>
      <w:r w:rsidRPr="0040783B">
        <w:t xml:space="preserve"> в течение 12 недель в наивных лечением пациентах, только 12 были генотипом 1</w:t>
      </w:r>
      <w:r w:rsidRPr="00D32325">
        <w:rPr>
          <w:lang w:val="en-US"/>
        </w:rPr>
        <w:t>b</w:t>
      </w:r>
      <w:r w:rsidRPr="0040783B">
        <w:t xml:space="preserve">, и все достигли </w:t>
      </w:r>
      <w:r w:rsidRPr="00D32325">
        <w:rPr>
          <w:lang w:val="en-US"/>
        </w:rPr>
        <w:t>SVR</w:t>
      </w:r>
      <w:r w:rsidRPr="0040783B">
        <w:t>12. (</w:t>
      </w:r>
      <w:hyperlink r:id="rId44" w:anchor="wyles2015">
        <w:r w:rsidRPr="00D32325">
          <w:rPr>
            <w:color w:val="0000FF"/>
            <w:u w:val="single" w:color="0000FF"/>
            <w:lang w:val="en-US"/>
          </w:rPr>
          <w:t>Wyles</w:t>
        </w:r>
        <w:r w:rsidRPr="0040783B">
          <w:rPr>
            <w:color w:val="0000FF"/>
            <w:u w:val="single" w:color="0000FF"/>
          </w:rPr>
          <w:t>, 2015 [12]</w:t>
        </w:r>
      </w:hyperlink>
      <w:r w:rsidRPr="0040783B">
        <w:t>), Кроме того, в СОЮЗНИКЕ 1 исследование, которое все 11 генотипов 1</w:t>
      </w:r>
      <w:r w:rsidRPr="00D32325">
        <w:rPr>
          <w:lang w:val="en-US"/>
        </w:rPr>
        <w:t>b</w:t>
      </w:r>
      <w:r w:rsidRPr="0040783B">
        <w:t xml:space="preserve"> заразили пациентами прогрессирующим циррозом, достигло </w:t>
      </w:r>
      <w:r w:rsidRPr="00D32325">
        <w:rPr>
          <w:lang w:val="en-US"/>
        </w:rPr>
        <w:t>SVR</w:t>
      </w:r>
      <w:r w:rsidRPr="0040783B">
        <w:t>12. Из-за ограниченных чисел генотипа 1</w:t>
      </w:r>
      <w:r w:rsidRPr="00D32325">
        <w:rPr>
          <w:lang w:val="en-US"/>
        </w:rPr>
        <w:t>b</w:t>
      </w:r>
      <w:r w:rsidRPr="0040783B">
        <w:t xml:space="preserve"> пациенты, представленные в испытаниях фазы 3 этого режима, существует недостаточно доказательств, чтобы поддержать другой подход подтипом в это время.</w:t>
      </w:r>
    </w:p>
    <w:p w:rsidR="0040783B" w:rsidRPr="0040783B" w:rsidRDefault="0040783B" w:rsidP="00E36270">
      <w:pPr>
        <w:ind w:left="-5" w:right="15"/>
      </w:pPr>
      <w:r w:rsidRPr="00D32325">
        <w:rPr>
          <w:lang w:val="en-US"/>
        </w:rPr>
        <w:t>PrOD</w:t>
      </w:r>
      <w:r w:rsidRPr="0040783B">
        <w:t xml:space="preserve"> (плюс </w:t>
      </w:r>
      <w:r w:rsidRPr="00D32325">
        <w:rPr>
          <w:lang w:val="en-US"/>
        </w:rPr>
        <w:t>RBV</w:t>
      </w:r>
      <w:r w:rsidRPr="0040783B">
        <w:t xml:space="preserve"> для тех с циррозом) был одобрен </w:t>
      </w:r>
      <w:r w:rsidRPr="00D32325">
        <w:rPr>
          <w:lang w:val="en-US"/>
        </w:rPr>
        <w:t>FDA</w:t>
      </w:r>
      <w:r w:rsidRPr="0040783B">
        <w:t xml:space="preserve"> для лечения генотипа </w:t>
      </w:r>
      <w:r w:rsidRPr="00D32325">
        <w:rPr>
          <w:lang w:val="en-US"/>
        </w:rPr>
        <w:t>HCV</w:t>
      </w:r>
      <w:r w:rsidRPr="0040783B">
        <w:t xml:space="preserve"> 1</w:t>
      </w:r>
      <w:r w:rsidRPr="00D32325">
        <w:rPr>
          <w:lang w:val="en-US"/>
        </w:rPr>
        <w:t>b</w:t>
      </w:r>
      <w:r w:rsidRPr="0040783B">
        <w:t xml:space="preserve"> инфекция в наивных лечением пациентах на основе 3 регистрационных испытаний: САПФИР-</w:t>
      </w:r>
      <w:r w:rsidRPr="00D32325">
        <w:rPr>
          <w:lang w:val="en-US"/>
        </w:rPr>
        <w:t>I</w:t>
      </w:r>
      <w:r w:rsidRPr="0040783B">
        <w:t xml:space="preserve"> (151 наивный лечением пациент с генотипом </w:t>
      </w:r>
      <w:r w:rsidRPr="00D32325">
        <w:rPr>
          <w:lang w:val="en-US"/>
        </w:rPr>
        <w:t>HCV</w:t>
      </w:r>
      <w:r w:rsidRPr="0040783B">
        <w:t xml:space="preserve"> 1</w:t>
      </w:r>
      <w:r w:rsidRPr="00D32325">
        <w:rPr>
          <w:lang w:val="en-US"/>
        </w:rPr>
        <w:t>b</w:t>
      </w:r>
      <w:r w:rsidRPr="0040783B">
        <w:t xml:space="preserve"> и без цирроза), </w:t>
      </w:r>
      <w:r w:rsidRPr="00D32325">
        <w:rPr>
          <w:lang w:val="en-US"/>
        </w:rPr>
        <w:t>PEARL</w:t>
      </w:r>
      <w:r w:rsidRPr="0040783B">
        <w:t>-</w:t>
      </w:r>
      <w:r w:rsidRPr="00D32325">
        <w:rPr>
          <w:lang w:val="en-US"/>
        </w:rPr>
        <w:t>III</w:t>
      </w:r>
      <w:r w:rsidRPr="0040783B">
        <w:t xml:space="preserve"> (419 наивных лечением пациентов, все с генотипом 1</w:t>
      </w:r>
      <w:r w:rsidRPr="00D32325">
        <w:rPr>
          <w:lang w:val="en-US"/>
        </w:rPr>
        <w:t>b</w:t>
      </w:r>
      <w:r w:rsidRPr="0040783B">
        <w:t xml:space="preserve"> и без цирроза), и БИРЮЗА-</w:t>
      </w:r>
      <w:r w:rsidRPr="00D32325">
        <w:rPr>
          <w:lang w:val="en-US"/>
        </w:rPr>
        <w:t>II</w:t>
      </w:r>
      <w:r w:rsidRPr="0040783B">
        <w:t xml:space="preserve"> (119 наивных лечением и - испытали пациентов с генотипом 1</w:t>
      </w:r>
      <w:r w:rsidRPr="00D32325">
        <w:rPr>
          <w:lang w:val="en-US"/>
        </w:rPr>
        <w:t>b</w:t>
      </w:r>
      <w:r w:rsidRPr="0040783B">
        <w:t xml:space="preserve"> с циррозом). САПФИР-</w:t>
      </w:r>
      <w:r w:rsidRPr="00D32325">
        <w:rPr>
          <w:lang w:val="en-US"/>
        </w:rPr>
        <w:t>I</w:t>
      </w:r>
      <w:r w:rsidRPr="0040783B">
        <w:t xml:space="preserve"> сообщил о высоком уровне </w:t>
      </w:r>
      <w:r w:rsidRPr="00D32325">
        <w:rPr>
          <w:lang w:val="en-US"/>
        </w:rPr>
        <w:t>SVR</w:t>
      </w:r>
      <w:r w:rsidRPr="0040783B">
        <w:t xml:space="preserve">12 (98%) с 12 неделями </w:t>
      </w:r>
      <w:r w:rsidRPr="00D32325">
        <w:rPr>
          <w:lang w:val="en-US"/>
        </w:rPr>
        <w:t>PrOD</w:t>
      </w:r>
      <w:r w:rsidRPr="0040783B">
        <w:t xml:space="preserve"> и </w:t>
      </w:r>
      <w:r w:rsidRPr="00D32325">
        <w:rPr>
          <w:lang w:val="en-US"/>
        </w:rPr>
        <w:t>RBV</w:t>
      </w:r>
      <w:r w:rsidRPr="0040783B">
        <w:t xml:space="preserve"> у больных с генотипом </w:t>
      </w:r>
      <w:r w:rsidRPr="00D32325">
        <w:rPr>
          <w:lang w:val="en-US"/>
        </w:rPr>
        <w:t>HCV</w:t>
      </w:r>
      <w:r w:rsidRPr="0040783B">
        <w:t xml:space="preserve"> 1</w:t>
      </w:r>
      <w:r w:rsidRPr="00D32325">
        <w:rPr>
          <w:lang w:val="en-US"/>
        </w:rPr>
        <w:t>b</w:t>
      </w:r>
      <w:r w:rsidRPr="0040783B">
        <w:t xml:space="preserve">. </w:t>
      </w:r>
      <w:r>
        <w:t>(</w:t>
      </w:r>
      <w:hyperlink r:id="rId45" w:anchor="feld2014">
        <w:r>
          <w:rPr>
            <w:color w:val="0000FF"/>
            <w:u w:val="single" w:color="0000FF"/>
          </w:rPr>
          <w:t>Фелд, 2014 [19]</w:t>
        </w:r>
      </w:hyperlink>
      <w:r>
        <w:t xml:space="preserve">) Данный высокие показатели SVR12, замеченные в САПФИРЕ-I, PEARL-III был специально предназначен, чтобы определить роль основанного на весе RBV с PrOD в наивных лечением пациентах с генотипом HCV 1b без цирроза. </w:t>
      </w:r>
      <w:r w:rsidRPr="0040783B">
        <w:t>(</w:t>
      </w:r>
      <w:hyperlink r:id="rId46" w:anchor="ferenci2014">
        <w:r w:rsidRPr="00D32325">
          <w:rPr>
            <w:color w:val="0000FF"/>
            <w:u w:val="single" w:color="0000FF"/>
            <w:lang w:val="en-US"/>
          </w:rPr>
          <w:t>Ferenci</w:t>
        </w:r>
        <w:r w:rsidRPr="0040783B">
          <w:rPr>
            <w:color w:val="0000FF"/>
            <w:u w:val="single" w:color="0000FF"/>
          </w:rPr>
          <w:t>, 2014 [20]</w:t>
        </w:r>
      </w:hyperlink>
      <w:r w:rsidRPr="0040783B">
        <w:t xml:space="preserve">) уровень </w:t>
      </w:r>
      <w:r w:rsidRPr="00D32325">
        <w:rPr>
          <w:lang w:val="en-US"/>
        </w:rPr>
        <w:t>SVR</w:t>
      </w:r>
      <w:r w:rsidRPr="0040783B">
        <w:t xml:space="preserve">12 составлял 99% в обеих руках, подтверждая, что нет никакой дополнительной помощи от использования основанного на весе </w:t>
      </w:r>
      <w:r w:rsidRPr="00D32325">
        <w:rPr>
          <w:lang w:val="en-US"/>
        </w:rPr>
        <w:t>RBV</w:t>
      </w:r>
      <w:r w:rsidRPr="0040783B">
        <w:t xml:space="preserve"> для пациентов без цирроза, у которых есть генотип </w:t>
      </w:r>
      <w:r w:rsidRPr="00D32325">
        <w:rPr>
          <w:lang w:val="en-US"/>
        </w:rPr>
        <w:t>HCV</w:t>
      </w:r>
      <w:r w:rsidRPr="0040783B">
        <w:t xml:space="preserve"> 1</w:t>
      </w:r>
      <w:r w:rsidRPr="00D32325">
        <w:rPr>
          <w:lang w:val="en-US"/>
        </w:rPr>
        <w:t>b</w:t>
      </w:r>
      <w:r w:rsidRPr="0040783B">
        <w:t xml:space="preserve"> инфекция. БИРЮЗА-</w:t>
      </w:r>
      <w:r w:rsidRPr="00D32325">
        <w:rPr>
          <w:lang w:val="en-US"/>
        </w:rPr>
        <w:t>II</w:t>
      </w:r>
      <w:r w:rsidRPr="0040783B">
        <w:t xml:space="preserve"> зарегистрировалась наивный лечением и - опытные пациенты с классом </w:t>
      </w:r>
      <w:r w:rsidRPr="00D32325">
        <w:rPr>
          <w:lang w:val="en-US"/>
        </w:rPr>
        <w:t>CTP</w:t>
      </w:r>
      <w:r w:rsidRPr="0040783B">
        <w:t xml:space="preserve"> цирроз, чтобы получить или 12 недель или 24 недели лечения с </w:t>
      </w:r>
      <w:r w:rsidRPr="00D32325">
        <w:rPr>
          <w:lang w:val="en-US"/>
        </w:rPr>
        <w:t>PrOD</w:t>
      </w:r>
      <w:r w:rsidRPr="0040783B">
        <w:t xml:space="preserve"> и </w:t>
      </w:r>
      <w:r w:rsidRPr="00D32325">
        <w:rPr>
          <w:lang w:val="en-US"/>
        </w:rPr>
        <w:t>RBV</w:t>
      </w:r>
      <w:r w:rsidRPr="0040783B">
        <w:t xml:space="preserve">. В целом, ставки </w:t>
      </w:r>
      <w:r w:rsidRPr="00D32325">
        <w:rPr>
          <w:lang w:val="en-US"/>
        </w:rPr>
        <w:t>SVR</w:t>
      </w:r>
      <w:r w:rsidRPr="0040783B">
        <w:t>12 составляли 98,5% в 12-недельной руке и 100% в 24-недельной руке. (</w:t>
      </w:r>
      <w:hyperlink r:id="rId47" w:anchor="poordad2014">
        <w:r w:rsidRPr="00D32325">
          <w:rPr>
            <w:color w:val="0000FF"/>
            <w:u w:val="single" w:color="0000FF"/>
            <w:lang w:val="en-US"/>
          </w:rPr>
          <w:t>Poordad</w:t>
        </w:r>
        <w:r w:rsidRPr="0040783B">
          <w:rPr>
            <w:color w:val="0000FF"/>
            <w:u w:val="single" w:color="0000FF"/>
          </w:rPr>
          <w:t>, 2014 [22]</w:t>
        </w:r>
      </w:hyperlink>
      <w:r w:rsidRPr="0040783B">
        <w:t xml:space="preserve">), Чтобы обратиться к потребности в </w:t>
      </w:r>
      <w:r w:rsidRPr="00D32325">
        <w:rPr>
          <w:lang w:val="en-US"/>
        </w:rPr>
        <w:t>RBV</w:t>
      </w:r>
      <w:r w:rsidRPr="0040783B">
        <w:t xml:space="preserve"> с этим режимом у больных с генотипом </w:t>
      </w:r>
      <w:r w:rsidRPr="00D32325">
        <w:rPr>
          <w:lang w:val="en-US"/>
        </w:rPr>
        <w:t>HCV</w:t>
      </w:r>
      <w:r w:rsidRPr="0040783B">
        <w:t xml:space="preserve"> 1</w:t>
      </w:r>
      <w:r w:rsidRPr="00D32325">
        <w:rPr>
          <w:lang w:val="en-US"/>
        </w:rPr>
        <w:t>b</w:t>
      </w:r>
      <w:r w:rsidRPr="0040783B">
        <w:t xml:space="preserve"> и цирроз, БИРЮЗОВОЕ-</w:t>
      </w:r>
      <w:r w:rsidRPr="00D32325">
        <w:rPr>
          <w:lang w:val="en-US"/>
        </w:rPr>
        <w:t>III</w:t>
      </w:r>
      <w:r w:rsidRPr="0040783B">
        <w:t xml:space="preserve"> исследование оценило безопасность и эффективность </w:t>
      </w:r>
      <w:r w:rsidRPr="00D32325">
        <w:rPr>
          <w:lang w:val="en-US"/>
        </w:rPr>
        <w:t>PrOD</w:t>
      </w:r>
      <w:r w:rsidRPr="0040783B">
        <w:t xml:space="preserve"> без </w:t>
      </w:r>
      <w:r w:rsidRPr="00D32325">
        <w:rPr>
          <w:lang w:val="en-US"/>
        </w:rPr>
        <w:t>RBV</w:t>
      </w:r>
      <w:r w:rsidRPr="0040783B">
        <w:t xml:space="preserve"> в течение 12 недель у больных с генотипом </w:t>
      </w:r>
      <w:r w:rsidRPr="00D32325">
        <w:rPr>
          <w:lang w:val="en-US"/>
        </w:rPr>
        <w:t>HCV</w:t>
      </w:r>
      <w:r w:rsidRPr="0040783B">
        <w:t xml:space="preserve"> 1</w:t>
      </w:r>
      <w:r w:rsidRPr="00D32325">
        <w:rPr>
          <w:lang w:val="en-US"/>
        </w:rPr>
        <w:t>b</w:t>
      </w:r>
      <w:r w:rsidRPr="0040783B">
        <w:t xml:space="preserve"> инфекция и дало компенсацию циррозу.</w:t>
      </w:r>
      <w:r>
        <w:t xml:space="preserve"> </w:t>
      </w:r>
      <w:r w:rsidRPr="0040783B">
        <w:t>Были зарегистрированы</w:t>
      </w:r>
      <w:r>
        <w:t xml:space="preserve"> </w:t>
      </w:r>
      <w:r w:rsidRPr="0040783B">
        <w:t xml:space="preserve">шестьдесят пациентов (62%-е мужчины, 55%-е опытное лечение, 83% с генотипом </w:t>
      </w:r>
      <w:r w:rsidRPr="00D32325">
        <w:rPr>
          <w:lang w:val="en-US"/>
        </w:rPr>
        <w:t>IL</w:t>
      </w:r>
      <w:r w:rsidRPr="0040783B">
        <w:t>28</w:t>
      </w:r>
      <w:r w:rsidRPr="00D32325">
        <w:rPr>
          <w:lang w:val="en-US"/>
        </w:rPr>
        <w:t>B</w:t>
      </w:r>
      <w:r w:rsidRPr="0040783B">
        <w:t xml:space="preserve"> </w:t>
      </w:r>
      <w:r w:rsidRPr="00D32325">
        <w:rPr>
          <w:lang w:val="en-US"/>
        </w:rPr>
        <w:t>non</w:t>
      </w:r>
      <w:r w:rsidRPr="0040783B">
        <w:t>-</w:t>
      </w:r>
      <w:r w:rsidRPr="00D32325">
        <w:rPr>
          <w:lang w:val="en-US"/>
        </w:rPr>
        <w:t>CC</w:t>
      </w:r>
      <w:r w:rsidRPr="0040783B">
        <w:t xml:space="preserve">, 22% с количеством тромбоцитов &lt;90 </w:t>
      </w:r>
      <w:r w:rsidRPr="00D32325">
        <w:rPr>
          <w:lang w:val="en-US"/>
        </w:rPr>
        <w:t>x</w:t>
      </w:r>
      <w:r w:rsidRPr="0040783B">
        <w:t xml:space="preserve"> 109/</w:t>
      </w:r>
      <w:r w:rsidRPr="00D32325">
        <w:rPr>
          <w:lang w:val="en-US"/>
        </w:rPr>
        <w:t>L</w:t>
      </w:r>
      <w:r>
        <w:t xml:space="preserve"> </w:t>
      </w:r>
      <w:r w:rsidRPr="0040783B">
        <w:t xml:space="preserve">и 17% с уровнями белка &lt;3,5 г/дл). Все пациенты закончили лечение, и все пациенты достигли </w:t>
      </w:r>
      <w:r w:rsidRPr="00D32325">
        <w:rPr>
          <w:lang w:val="en-US"/>
        </w:rPr>
        <w:t>SVR</w:t>
      </w:r>
      <w:r w:rsidRPr="0040783B">
        <w:t xml:space="preserve">12. На основе этого исследования, леча пациентов с генотипом </w:t>
      </w:r>
      <w:r w:rsidRPr="00D32325">
        <w:rPr>
          <w:lang w:val="en-US"/>
        </w:rPr>
        <w:t>HCV</w:t>
      </w:r>
      <w:r w:rsidRPr="0040783B">
        <w:t xml:space="preserve"> 1</w:t>
      </w:r>
      <w:r w:rsidRPr="00D32325">
        <w:rPr>
          <w:lang w:val="en-US"/>
        </w:rPr>
        <w:t>b</w:t>
      </w:r>
      <w:r w:rsidRPr="0040783B">
        <w:t xml:space="preserve"> с </w:t>
      </w:r>
      <w:r w:rsidRPr="00D32325">
        <w:rPr>
          <w:lang w:val="en-US"/>
        </w:rPr>
        <w:t>PrOD</w:t>
      </w:r>
      <w:r w:rsidRPr="0040783B">
        <w:t xml:space="preserve">, но без </w:t>
      </w:r>
      <w:r w:rsidRPr="00D32325">
        <w:rPr>
          <w:lang w:val="en-US"/>
        </w:rPr>
        <w:t>RBV</w:t>
      </w:r>
      <w:r w:rsidRPr="0040783B">
        <w:t xml:space="preserve"> рекомендуется, независимо от предшествующего опыта лечения или наличия цирроза. (</w:t>
      </w:r>
      <w:hyperlink r:id="rId48" w:anchor="feld2015">
        <w:r w:rsidRPr="0040783B">
          <w:rPr>
            <w:color w:val="0000FF"/>
            <w:u w:val="single" w:color="0000FF"/>
          </w:rPr>
          <w:t xml:space="preserve">Фелд, </w:t>
        </w:r>
      </w:hyperlink>
      <w:hyperlink r:id="rId49" w:anchor="feld2015">
        <w:r w:rsidRPr="0040783B">
          <w:rPr>
            <w:color w:val="0000FF"/>
            <w:u w:val="single" w:color="0000FF"/>
          </w:rPr>
          <w:t>2015 [26]</w:t>
        </w:r>
      </w:hyperlink>
      <w:r w:rsidRPr="0040783B">
        <w:t>)</w:t>
      </w:r>
    </w:p>
    <w:p w:rsidR="0040783B" w:rsidRPr="0040783B" w:rsidRDefault="0040783B" w:rsidP="00E36270">
      <w:pPr>
        <w:ind w:left="-5" w:right="15"/>
      </w:pPr>
      <w:r w:rsidRPr="0040783B">
        <w:t xml:space="preserve">До настоящего времени нет никакого измеримого различия, продемонстрированного в реакции лечения на </w:t>
      </w:r>
      <w:r w:rsidRPr="00D32325">
        <w:rPr>
          <w:lang w:val="en-US"/>
        </w:rPr>
        <w:t>simeprevir</w:t>
      </w:r>
      <w:r w:rsidRPr="0040783B">
        <w:t xml:space="preserve"> плюс </w:t>
      </w:r>
      <w:r w:rsidRPr="00D32325">
        <w:rPr>
          <w:lang w:val="en-US"/>
        </w:rPr>
        <w:t>sofosbuvir</w:t>
      </w:r>
      <w:r w:rsidRPr="0040783B">
        <w:t xml:space="preserve"> для генотипа </w:t>
      </w:r>
      <w:r w:rsidRPr="00D32325">
        <w:rPr>
          <w:lang w:val="en-US"/>
        </w:rPr>
        <w:t>HCV</w:t>
      </w:r>
      <w:r w:rsidRPr="0040783B">
        <w:t xml:space="preserve"> 1 подтипы (за исключением пациентов с генотипом 1</w:t>
      </w:r>
      <w:r w:rsidRPr="00D32325">
        <w:rPr>
          <w:lang w:val="en-US"/>
        </w:rPr>
        <w:t>a</w:t>
      </w:r>
      <w:r w:rsidRPr="0040783B">
        <w:t xml:space="preserve"> с циррозом, у кого также есть начальная мутация </w:t>
      </w:r>
      <w:r w:rsidRPr="00D32325">
        <w:rPr>
          <w:lang w:val="en-US"/>
        </w:rPr>
        <w:t>Q</w:t>
      </w:r>
      <w:r w:rsidRPr="0040783B">
        <w:t>80</w:t>
      </w:r>
      <w:r w:rsidRPr="00D32325">
        <w:rPr>
          <w:lang w:val="en-US"/>
        </w:rPr>
        <w:t>K</w:t>
      </w:r>
      <w:r w:rsidRPr="0040783B">
        <w:t xml:space="preserve">), таким образом доказательства поддержки остаются тем же что касается генотипа </w:t>
      </w:r>
      <w:r w:rsidRPr="00D32325">
        <w:rPr>
          <w:lang w:val="en-US"/>
        </w:rPr>
        <w:t>HCV</w:t>
      </w:r>
      <w:r w:rsidRPr="0040783B">
        <w:t xml:space="preserve"> 1</w:t>
      </w:r>
      <w:r w:rsidRPr="00D32325">
        <w:rPr>
          <w:lang w:val="en-US"/>
        </w:rPr>
        <w:t>a</w:t>
      </w:r>
      <w:r w:rsidRPr="0040783B">
        <w:t>–</w:t>
      </w:r>
      <w:r w:rsidRPr="00D32325">
        <w:rPr>
          <w:lang w:val="en-US"/>
        </w:rPr>
        <w:t>infected</w:t>
      </w:r>
      <w:r w:rsidRPr="0040783B">
        <w:t xml:space="preserve"> пациенты (см. </w:t>
      </w:r>
      <w:hyperlink r:id="rId50" w:anchor="genotype1">
        <w:r w:rsidRPr="0040783B">
          <w:rPr>
            <w:rFonts w:ascii="Calibri" w:eastAsia="Calibri" w:hAnsi="Calibri" w:cs="Calibri"/>
            <w:b/>
            <w:color w:val="0000FF"/>
            <w:u w:val="single" w:color="0000FF"/>
          </w:rPr>
          <w:t>Генотип 1</w:t>
        </w:r>
      </w:hyperlink>
      <w:r w:rsidRPr="0040783B">
        <w:t xml:space="preserve"> </w:t>
      </w:r>
      <w:r w:rsidRPr="0040783B">
        <w:rPr>
          <w:sz w:val="15"/>
        </w:rPr>
        <w:t>[27]</w:t>
      </w:r>
      <w:r w:rsidRPr="0040783B">
        <w:t>).</w:t>
      </w:r>
    </w:p>
    <w:p w:rsidR="0040783B" w:rsidRPr="0040783B" w:rsidRDefault="0040783B" w:rsidP="00E36270">
      <w:pPr>
        <w:spacing w:after="181"/>
        <w:ind w:left="-5" w:right="15"/>
      </w:pPr>
      <w:r w:rsidRPr="0040783B">
        <w:t xml:space="preserve">Профили безопасности к дате всех рекомендуемых режимов выше превосходны. Через многочисленные программы фазы </w:t>
      </w:r>
      <w:r w:rsidRPr="00D32325">
        <w:rPr>
          <w:lang w:val="en-US"/>
        </w:rPr>
        <w:t>III</w:t>
      </w:r>
      <w:r w:rsidRPr="0040783B">
        <w:t xml:space="preserve"> меньше чем 1% пациентов без цирроза прекратил лечение рано, и нежелательные явления были умеренными. Наиболее нежелательные явления произошли в </w:t>
      </w:r>
      <w:r w:rsidRPr="00D32325">
        <w:rPr>
          <w:lang w:val="en-US"/>
        </w:rPr>
        <w:t>RBV</w:t>
      </w:r>
      <w:r w:rsidRPr="0040783B">
        <w:t>-содержании рук. Ставки прекращения были выше для пациентов с циррозом (приблизительно 2% для некоторых испытаний), но все еще очень низко.</w:t>
      </w:r>
    </w:p>
    <w:tbl>
      <w:tblPr>
        <w:tblStyle w:val="TableGrid"/>
        <w:tblW w:w="10505" w:type="dxa"/>
        <w:tblInd w:w="17" w:type="dxa"/>
        <w:tblCellMar>
          <w:left w:w="248" w:type="dxa"/>
          <w:right w:w="278" w:type="dxa"/>
        </w:tblCellMar>
        <w:tblLook w:val="04A0" w:firstRow="1" w:lastRow="0" w:firstColumn="1" w:lastColumn="0" w:noHBand="0" w:noVBand="1"/>
      </w:tblPr>
      <w:tblGrid>
        <w:gridCol w:w="10505"/>
      </w:tblGrid>
      <w:tr w:rsidR="0040783B" w:rsidRPr="00D32325" w:rsidTr="00AE7FF4">
        <w:trPr>
          <w:trHeight w:val="3017"/>
        </w:trPr>
        <w:tc>
          <w:tcPr>
            <w:tcW w:w="10505" w:type="dxa"/>
            <w:tcBorders>
              <w:top w:val="single" w:sz="18" w:space="0" w:color="E00000"/>
              <w:left w:val="single" w:sz="18" w:space="0" w:color="E00000"/>
              <w:bottom w:val="single" w:sz="18" w:space="0" w:color="E00000"/>
              <w:right w:val="single" w:sz="18" w:space="0" w:color="E00000"/>
            </w:tcBorders>
            <w:shd w:val="clear" w:color="auto" w:fill="F4E5E5"/>
            <w:vAlign w:val="center"/>
          </w:tcPr>
          <w:p w:rsidR="0040783B" w:rsidRPr="0040783B" w:rsidRDefault="0040783B" w:rsidP="00AE7FF4">
            <w:pPr>
              <w:spacing w:after="87" w:line="261" w:lineRule="auto"/>
            </w:pPr>
            <w:r w:rsidRPr="0040783B">
              <w:rPr>
                <w:rFonts w:ascii="Calibri" w:eastAsia="Calibri" w:hAnsi="Calibri" w:cs="Calibri"/>
                <w:b/>
                <w:i/>
                <w:sz w:val="24"/>
              </w:rPr>
              <w:t xml:space="preserve">Следующие режимы НЕ рекомендуются для наивных лечением пациентов с генотипом </w:t>
            </w:r>
            <w:r w:rsidRPr="00D32325">
              <w:rPr>
                <w:rFonts w:ascii="Calibri" w:eastAsia="Calibri" w:hAnsi="Calibri" w:cs="Calibri"/>
                <w:b/>
                <w:i/>
                <w:sz w:val="24"/>
                <w:lang w:val="en-US"/>
              </w:rPr>
              <w:t>HCV</w:t>
            </w:r>
            <w:r w:rsidRPr="0040783B">
              <w:rPr>
                <w:rFonts w:ascii="Calibri" w:eastAsia="Calibri" w:hAnsi="Calibri" w:cs="Calibri"/>
                <w:b/>
                <w:i/>
                <w:sz w:val="24"/>
              </w:rPr>
              <w:t xml:space="preserve"> 1.*</w:t>
            </w:r>
          </w:p>
          <w:p w:rsidR="0040783B" w:rsidRPr="0040783B" w:rsidRDefault="0040783B" w:rsidP="00AE7FF4">
            <w:pPr>
              <w:spacing w:line="259" w:lineRule="auto"/>
            </w:pPr>
            <w:r w:rsidRPr="0040783B">
              <w:rPr>
                <w:rFonts w:ascii="Segoe UI Symbol" w:eastAsia="Segoe UI Symbol" w:hAnsi="Segoe UI Symbol" w:cs="Segoe UI Symbol"/>
                <w:sz w:val="9"/>
              </w:rPr>
              <w:t xml:space="preserve">■ </w:t>
            </w:r>
            <w:r w:rsidRPr="0040783B">
              <w:rPr>
                <w:rFonts w:ascii="Calibri" w:eastAsia="Calibri" w:hAnsi="Calibri" w:cs="Calibri"/>
                <w:b/>
              </w:rPr>
              <w:t xml:space="preserve">Ежедневный </w:t>
            </w:r>
            <w:r w:rsidRPr="00D32325">
              <w:rPr>
                <w:rFonts w:ascii="Calibri" w:eastAsia="Calibri" w:hAnsi="Calibri" w:cs="Calibri"/>
                <w:b/>
                <w:lang w:val="en-US"/>
              </w:rPr>
              <w:t>sofosbuvir</w:t>
            </w:r>
            <w:r w:rsidRPr="0040783B">
              <w:rPr>
                <w:rFonts w:ascii="Calibri" w:eastAsia="Calibri" w:hAnsi="Calibri" w:cs="Calibri"/>
                <w:b/>
              </w:rPr>
              <w:t xml:space="preserve"> (400 мг) и основанный на весе </w:t>
            </w:r>
            <w:r w:rsidRPr="00D32325">
              <w:rPr>
                <w:rFonts w:ascii="Calibri" w:eastAsia="Calibri" w:hAnsi="Calibri" w:cs="Calibri"/>
                <w:b/>
                <w:lang w:val="en-US"/>
              </w:rPr>
              <w:t>RBV</w:t>
            </w:r>
            <w:r w:rsidRPr="0040783B">
              <w:rPr>
                <w:rFonts w:ascii="Calibri" w:eastAsia="Calibri" w:hAnsi="Calibri" w:cs="Calibri"/>
                <w:b/>
              </w:rPr>
              <w:t xml:space="preserve"> в течение 24 недель. Рейтинг: </w:t>
            </w:r>
            <w:r w:rsidRPr="0040783B">
              <w:t xml:space="preserve">Класс </w:t>
            </w:r>
            <w:r w:rsidRPr="00D32325">
              <w:rPr>
                <w:lang w:val="en-US"/>
              </w:rPr>
              <w:t>IIb</w:t>
            </w:r>
            <w:r w:rsidRPr="0040783B">
              <w:t xml:space="preserve">, Уровень </w:t>
            </w:r>
            <w:r w:rsidRPr="00D32325">
              <w:rPr>
                <w:lang w:val="en-US"/>
              </w:rPr>
              <w:t>A</w:t>
            </w:r>
          </w:p>
          <w:p w:rsidR="0040783B" w:rsidRPr="0040783B" w:rsidRDefault="0040783B" w:rsidP="00AE7FF4">
            <w:pPr>
              <w:spacing w:line="280" w:lineRule="auto"/>
              <w:ind w:left="161" w:hanging="161"/>
            </w:pPr>
            <w:r w:rsidRPr="0040783B">
              <w:rPr>
                <w:rFonts w:ascii="Segoe UI Symbol" w:eastAsia="Segoe UI Symbol" w:hAnsi="Segoe UI Symbol" w:cs="Segoe UI Symbol"/>
                <w:sz w:val="9"/>
              </w:rPr>
              <w:t xml:space="preserve">■ </w:t>
            </w:r>
            <w:r w:rsidRPr="0040783B">
              <w:rPr>
                <w:rFonts w:ascii="Calibri" w:eastAsia="Calibri" w:hAnsi="Calibri" w:cs="Calibri"/>
                <w:b/>
              </w:rPr>
              <w:t>ШТИФТ-</w:t>
            </w:r>
            <w:r w:rsidRPr="00D32325">
              <w:rPr>
                <w:rFonts w:ascii="Calibri" w:eastAsia="Calibri" w:hAnsi="Calibri" w:cs="Calibri"/>
                <w:b/>
                <w:lang w:val="en-US"/>
              </w:rPr>
              <w:t>IFN</w:t>
            </w:r>
            <w:r w:rsidRPr="0040783B">
              <w:rPr>
                <w:rFonts w:ascii="Calibri" w:eastAsia="Calibri" w:hAnsi="Calibri" w:cs="Calibri"/>
                <w:b/>
              </w:rPr>
              <w:t xml:space="preserve"> и </w:t>
            </w:r>
            <w:r w:rsidRPr="00D32325">
              <w:rPr>
                <w:rFonts w:ascii="Calibri" w:eastAsia="Calibri" w:hAnsi="Calibri" w:cs="Calibri"/>
                <w:b/>
                <w:lang w:val="en-US"/>
              </w:rPr>
              <w:t>RBV</w:t>
            </w:r>
            <w:r w:rsidRPr="0040783B">
              <w:rPr>
                <w:rFonts w:ascii="Calibri" w:eastAsia="Calibri" w:hAnsi="Calibri" w:cs="Calibri"/>
                <w:b/>
              </w:rPr>
              <w:t xml:space="preserve"> с или без </w:t>
            </w:r>
            <w:r w:rsidRPr="00D32325">
              <w:rPr>
                <w:rFonts w:ascii="Calibri" w:eastAsia="Calibri" w:hAnsi="Calibri" w:cs="Calibri"/>
                <w:b/>
                <w:lang w:val="en-US"/>
              </w:rPr>
              <w:t>sofosbuvir</w:t>
            </w:r>
            <w:r w:rsidRPr="0040783B">
              <w:rPr>
                <w:rFonts w:ascii="Calibri" w:eastAsia="Calibri" w:hAnsi="Calibri" w:cs="Calibri"/>
                <w:b/>
              </w:rPr>
              <w:t xml:space="preserve">, </w:t>
            </w:r>
            <w:r w:rsidRPr="00D32325">
              <w:rPr>
                <w:rFonts w:ascii="Calibri" w:eastAsia="Calibri" w:hAnsi="Calibri" w:cs="Calibri"/>
                <w:b/>
                <w:lang w:val="en-US"/>
              </w:rPr>
              <w:t>simeprevir</w:t>
            </w:r>
            <w:r w:rsidRPr="0040783B">
              <w:rPr>
                <w:rFonts w:ascii="Calibri" w:eastAsia="Calibri" w:hAnsi="Calibri" w:cs="Calibri"/>
                <w:b/>
              </w:rPr>
              <w:t xml:space="preserve">, </w:t>
            </w:r>
            <w:r w:rsidRPr="00D32325">
              <w:rPr>
                <w:rFonts w:ascii="Calibri" w:eastAsia="Calibri" w:hAnsi="Calibri" w:cs="Calibri"/>
                <w:b/>
                <w:lang w:val="en-US"/>
              </w:rPr>
              <w:t>telaprevir</w:t>
            </w:r>
            <w:r w:rsidRPr="0040783B">
              <w:rPr>
                <w:rFonts w:ascii="Calibri" w:eastAsia="Calibri" w:hAnsi="Calibri" w:cs="Calibri"/>
                <w:b/>
              </w:rPr>
              <w:t xml:space="preserve">, или </w:t>
            </w:r>
            <w:r w:rsidRPr="00D32325">
              <w:rPr>
                <w:rFonts w:ascii="Calibri" w:eastAsia="Calibri" w:hAnsi="Calibri" w:cs="Calibri"/>
                <w:b/>
                <w:lang w:val="en-US"/>
              </w:rPr>
              <w:t>boceprevir</w:t>
            </w:r>
            <w:r w:rsidRPr="0040783B">
              <w:rPr>
                <w:rFonts w:ascii="Calibri" w:eastAsia="Calibri" w:hAnsi="Calibri" w:cs="Calibri"/>
                <w:b/>
              </w:rPr>
              <w:t xml:space="preserve"> в течение 12 недель к 48 неделям. Рейтинг: </w:t>
            </w:r>
            <w:r w:rsidRPr="0040783B">
              <w:t xml:space="preserve">Класс </w:t>
            </w:r>
            <w:r w:rsidRPr="00D32325">
              <w:rPr>
                <w:lang w:val="en-US"/>
              </w:rPr>
              <w:t>IIb</w:t>
            </w:r>
            <w:r w:rsidRPr="0040783B">
              <w:t xml:space="preserve">, Уровень </w:t>
            </w:r>
            <w:r w:rsidRPr="00D32325">
              <w:rPr>
                <w:lang w:val="en-US"/>
              </w:rPr>
              <w:t>A</w:t>
            </w:r>
          </w:p>
          <w:p w:rsidR="0040783B" w:rsidRPr="0040783B" w:rsidRDefault="0040783B" w:rsidP="00AE7FF4">
            <w:pPr>
              <w:spacing w:line="259" w:lineRule="auto"/>
              <w:ind w:right="251"/>
              <w:jc w:val="both"/>
            </w:pPr>
            <w:r w:rsidRPr="0040783B">
              <w:rPr>
                <w:rFonts w:ascii="Segoe UI Symbol" w:eastAsia="Segoe UI Symbol" w:hAnsi="Segoe UI Symbol" w:cs="Segoe UI Symbol"/>
                <w:sz w:val="9"/>
              </w:rPr>
              <w:t xml:space="preserve">■ </w:t>
            </w:r>
            <w:r w:rsidRPr="0040783B">
              <w:rPr>
                <w:rFonts w:ascii="Calibri" w:eastAsia="Calibri" w:hAnsi="Calibri" w:cs="Calibri"/>
                <w:b/>
              </w:rPr>
              <w:t>Монотерапия со ШТИФТОМ-</w:t>
            </w:r>
            <w:r w:rsidRPr="00D32325">
              <w:rPr>
                <w:rFonts w:ascii="Calibri" w:eastAsia="Calibri" w:hAnsi="Calibri" w:cs="Calibri"/>
                <w:b/>
                <w:lang w:val="en-US"/>
              </w:rPr>
              <w:t>IFN</w:t>
            </w:r>
            <w:r w:rsidRPr="0040783B">
              <w:rPr>
                <w:rFonts w:ascii="Calibri" w:eastAsia="Calibri" w:hAnsi="Calibri" w:cs="Calibri"/>
                <w:b/>
              </w:rPr>
              <w:t xml:space="preserve">, </w:t>
            </w:r>
            <w:r w:rsidRPr="00D32325">
              <w:rPr>
                <w:rFonts w:ascii="Calibri" w:eastAsia="Calibri" w:hAnsi="Calibri" w:cs="Calibri"/>
                <w:b/>
                <w:lang w:val="en-US"/>
              </w:rPr>
              <w:t>RBV</w:t>
            </w:r>
            <w:r w:rsidRPr="0040783B">
              <w:rPr>
                <w:rFonts w:ascii="Calibri" w:eastAsia="Calibri" w:hAnsi="Calibri" w:cs="Calibri"/>
                <w:b/>
              </w:rPr>
              <w:t xml:space="preserve"> или действующим прямым образом противовирусным средством. Рейтинг: </w:t>
            </w:r>
            <w:r w:rsidRPr="0040783B">
              <w:t xml:space="preserve">Класс </w:t>
            </w:r>
            <w:r w:rsidRPr="00D32325">
              <w:rPr>
                <w:lang w:val="en-US"/>
              </w:rPr>
              <w:t>III</w:t>
            </w:r>
            <w:r w:rsidRPr="0040783B">
              <w:t xml:space="preserve">, Уровень </w:t>
            </w:r>
            <w:r w:rsidRPr="00D32325">
              <w:rPr>
                <w:lang w:val="en-US"/>
              </w:rPr>
              <w:t>A</w:t>
            </w:r>
            <w:r w:rsidRPr="0040783B">
              <w:t xml:space="preserve"> *Видит секции на </w:t>
            </w:r>
            <w:hyperlink r:id="rId51">
              <w:r w:rsidRPr="0040783B">
                <w:rPr>
                  <w:color w:val="0000FF"/>
                  <w:u w:val="single" w:color="0000FF"/>
                </w:rPr>
                <w:t xml:space="preserve">коинфекции </w:t>
              </w:r>
              <w:r w:rsidRPr="00D32325">
                <w:rPr>
                  <w:color w:val="0000FF"/>
                  <w:u w:val="single" w:color="0000FF"/>
                  <w:lang w:val="en-US"/>
                </w:rPr>
                <w:t>HIV</w:t>
              </w:r>
              <w:r w:rsidRPr="0040783B">
                <w:rPr>
                  <w:color w:val="0000FF"/>
                  <w:u w:val="single" w:color="0000FF"/>
                </w:rPr>
                <w:t>/</w:t>
              </w:r>
              <w:r w:rsidRPr="00D32325">
                <w:rPr>
                  <w:color w:val="0000FF"/>
                  <w:u w:val="single" w:color="0000FF"/>
                  <w:lang w:val="en-US"/>
                </w:rPr>
                <w:t>HCV</w:t>
              </w:r>
            </w:hyperlink>
            <w:r w:rsidRPr="0040783B">
              <w:t xml:space="preserve"> </w:t>
            </w:r>
            <w:r w:rsidRPr="0040783B">
              <w:rPr>
                <w:sz w:val="15"/>
              </w:rPr>
              <w:t>[4]</w:t>
            </w:r>
            <w:r w:rsidRPr="0040783B">
              <w:t xml:space="preserve">, </w:t>
            </w:r>
            <w:hyperlink r:id="rId52">
              <w:r w:rsidRPr="0040783B">
                <w:rPr>
                  <w:color w:val="0000FF"/>
                  <w:u w:val="single" w:color="0000FF"/>
                </w:rPr>
                <w:t>декомпенсированный цирроз</w:t>
              </w:r>
            </w:hyperlink>
            <w:r w:rsidRPr="0040783B">
              <w:t xml:space="preserve"> </w:t>
            </w:r>
            <w:r w:rsidRPr="0040783B">
              <w:rPr>
                <w:sz w:val="15"/>
              </w:rPr>
              <w:t>[5]</w:t>
            </w:r>
            <w:r w:rsidRPr="0040783B">
              <w:t xml:space="preserve">, </w:t>
            </w:r>
            <w:hyperlink r:id="rId53">
              <w:r w:rsidRPr="0040783B">
                <w:rPr>
                  <w:color w:val="0000FF"/>
                  <w:u w:val="single" w:color="0000FF"/>
                </w:rPr>
                <w:t>пересадка печени</w:t>
              </w:r>
            </w:hyperlink>
            <w:r w:rsidRPr="0040783B">
              <w:t xml:space="preserve"> </w:t>
            </w:r>
            <w:r w:rsidRPr="0040783B">
              <w:rPr>
                <w:sz w:val="15"/>
              </w:rPr>
              <w:t>[7]</w:t>
            </w:r>
            <w:r w:rsidRPr="0040783B">
              <w:t xml:space="preserve">, и </w:t>
            </w:r>
            <w:hyperlink r:id="rId54">
              <w:r w:rsidRPr="0040783B">
                <w:rPr>
                  <w:color w:val="0000FF"/>
                  <w:u w:val="single" w:color="0000FF"/>
                </w:rPr>
                <w:t>почечное ухудшение</w:t>
              </w:r>
            </w:hyperlink>
            <w:r w:rsidRPr="0040783B">
              <w:t xml:space="preserve"> </w:t>
            </w:r>
            <w:r w:rsidRPr="0040783B">
              <w:rPr>
                <w:sz w:val="15"/>
              </w:rPr>
              <w:t>[8]</w:t>
            </w:r>
            <w:r w:rsidRPr="0040783B">
              <w:t>.</w:t>
            </w:r>
          </w:p>
        </w:tc>
      </w:tr>
    </w:tbl>
    <w:p w:rsidR="0040783B" w:rsidRPr="0040783B" w:rsidRDefault="0040783B" w:rsidP="00E36270">
      <w:pPr>
        <w:ind w:left="-5" w:right="15"/>
      </w:pPr>
      <w:r w:rsidRPr="0040783B">
        <w:t xml:space="preserve">Несмотря на то, что режимами </w:t>
      </w:r>
      <w:r w:rsidRPr="00D32325">
        <w:rPr>
          <w:lang w:val="en-US"/>
        </w:rPr>
        <w:t>sofosbuvir</w:t>
      </w:r>
      <w:r w:rsidRPr="0040783B">
        <w:t xml:space="preserve"> и </w:t>
      </w:r>
      <w:r w:rsidRPr="00D32325">
        <w:rPr>
          <w:lang w:val="en-US"/>
        </w:rPr>
        <w:t>RBV</w:t>
      </w:r>
      <w:r w:rsidRPr="0040783B">
        <w:t xml:space="preserve"> или ШТИФТА-</w:t>
      </w:r>
      <w:r w:rsidRPr="00D32325">
        <w:rPr>
          <w:lang w:val="en-US"/>
        </w:rPr>
        <w:t>IFN</w:t>
      </w:r>
      <w:r w:rsidRPr="0040783B">
        <w:t xml:space="preserve"> и </w:t>
      </w:r>
      <w:r w:rsidRPr="00D32325">
        <w:rPr>
          <w:lang w:val="en-US"/>
        </w:rPr>
        <w:t>RBV</w:t>
      </w:r>
      <w:r w:rsidRPr="0040783B">
        <w:t xml:space="preserve"> плюс </w:t>
      </w:r>
      <w:r w:rsidRPr="00D32325">
        <w:rPr>
          <w:lang w:val="en-US"/>
        </w:rPr>
        <w:t>sofosbuvir</w:t>
      </w:r>
      <w:r w:rsidRPr="0040783B">
        <w:t xml:space="preserve">, </w:t>
      </w:r>
      <w:r w:rsidRPr="00D32325">
        <w:rPr>
          <w:lang w:val="en-US"/>
        </w:rPr>
        <w:t>simeprevir</w:t>
      </w:r>
      <w:r w:rsidRPr="0040783B">
        <w:t xml:space="preserve">, </w:t>
      </w:r>
      <w:r w:rsidRPr="00D32325">
        <w:rPr>
          <w:lang w:val="en-US"/>
        </w:rPr>
        <w:t>telaprevir</w:t>
      </w:r>
      <w:r w:rsidRPr="0040783B">
        <w:t xml:space="preserve">, или </w:t>
      </w:r>
      <w:r w:rsidRPr="00D32325">
        <w:rPr>
          <w:lang w:val="en-US"/>
        </w:rPr>
        <w:t>boceprevir</w:t>
      </w:r>
      <w:r w:rsidRPr="0040783B">
        <w:t xml:space="preserve"> в течение 12 недель к 48 неделям (некоторая использующая управляемая реакцией терапия) является также одобренная </w:t>
      </w:r>
      <w:r w:rsidRPr="00D32325">
        <w:rPr>
          <w:lang w:val="en-US"/>
        </w:rPr>
        <w:t>FDA</w:t>
      </w:r>
      <w:r w:rsidRPr="0040783B">
        <w:t xml:space="preserve">, они являются низшими по сравнению с током, рекомендуемым режимы. Большая часть </w:t>
      </w:r>
      <w:r w:rsidRPr="00D32325">
        <w:rPr>
          <w:lang w:val="en-US"/>
        </w:rPr>
        <w:t>IFN</w:t>
      </w:r>
      <w:r w:rsidRPr="0040783B">
        <w:t xml:space="preserve">-содержания режимов связана с более высокими показателями серьезных нежелательных явлений (например, анемия и высыпание), более длительная продолжительность лечения, высоко обирает бремя, многочисленное взаимодействие лекарств, более частое дозирование, более высокую интенсивность контроля для продолжения и остановки терапии и требования, которое будет взято с едой или с едой с высоким содержанием жиров. Несмотря на то, что испытание НЕЙТРИНО фазы </w:t>
      </w:r>
      <w:r w:rsidRPr="00D32325">
        <w:rPr>
          <w:lang w:val="en-US"/>
        </w:rPr>
        <w:t>III</w:t>
      </w:r>
      <w:r w:rsidRPr="0040783B">
        <w:t xml:space="preserve"> сообщило о самом высоком уровне </w:t>
      </w:r>
      <w:r w:rsidRPr="00D32325">
        <w:rPr>
          <w:lang w:val="en-US"/>
        </w:rPr>
        <w:t>SVR</w:t>
      </w:r>
      <w:r w:rsidRPr="0040783B">
        <w:t xml:space="preserve"> (89%) для </w:t>
      </w:r>
      <w:r w:rsidRPr="00D32325">
        <w:rPr>
          <w:lang w:val="en-US"/>
        </w:rPr>
        <w:t>IFN</w:t>
      </w:r>
      <w:r w:rsidRPr="0040783B">
        <w:t>-содержания режима (</w:t>
      </w:r>
      <w:r w:rsidRPr="00D32325">
        <w:rPr>
          <w:lang w:val="en-US"/>
        </w:rPr>
        <w:t>sofosbuvir</w:t>
      </w:r>
      <w:r w:rsidRPr="0040783B">
        <w:t xml:space="preserve"> [400 мг ежедневно]) в сочетании со ШТИФТОМ-</w:t>
      </w:r>
      <w:r w:rsidRPr="00D32325">
        <w:rPr>
          <w:lang w:val="en-US"/>
        </w:rPr>
        <w:t>IFN</w:t>
      </w:r>
      <w:r w:rsidRPr="0040783B">
        <w:t xml:space="preserve"> 2</w:t>
      </w:r>
      <w:r w:rsidRPr="00D32325">
        <w:rPr>
          <w:lang w:val="en-US"/>
        </w:rPr>
        <w:t>a</w:t>
      </w:r>
      <w:r w:rsidRPr="0040783B">
        <w:t xml:space="preserve"> (180 </w:t>
      </w:r>
      <w:r>
        <w:t xml:space="preserve">μg </w:t>
      </w:r>
      <w:r w:rsidRPr="0040783B">
        <w:t xml:space="preserve">подкожной инъекцией еженедельно) и основанный на весе </w:t>
      </w:r>
      <w:r w:rsidRPr="00D32325">
        <w:rPr>
          <w:lang w:val="en-US"/>
        </w:rPr>
        <w:t>RBV</w:t>
      </w:r>
      <w:r w:rsidRPr="0040783B">
        <w:t xml:space="preserve"> в генотипе </w:t>
      </w:r>
      <w:r w:rsidRPr="00D32325">
        <w:rPr>
          <w:lang w:val="en-US"/>
        </w:rPr>
        <w:t>HCV</w:t>
      </w:r>
      <w:r w:rsidRPr="0040783B">
        <w:t xml:space="preserve"> 1 инфекция и ограничило выделение к </w:t>
      </w:r>
      <w:r w:rsidRPr="00D32325">
        <w:rPr>
          <w:lang w:val="en-US"/>
        </w:rPr>
        <w:t>IFN</w:t>
      </w:r>
      <w:r w:rsidRPr="0040783B">
        <w:t xml:space="preserve"> ко всего 12 неделям, профиль безопасности и толерантности ограничивает свою полноценность в урегулировании одобренных </w:t>
      </w:r>
      <w:r w:rsidRPr="00D32325">
        <w:rPr>
          <w:lang w:val="en-US"/>
        </w:rPr>
        <w:t>FDA</w:t>
      </w:r>
      <w:r w:rsidRPr="0040783B">
        <w:t xml:space="preserve">, очень эффективных оральных комбинаций </w:t>
      </w:r>
      <w:r w:rsidRPr="00D32325">
        <w:rPr>
          <w:lang w:val="en-US"/>
        </w:rPr>
        <w:t>DAA</w:t>
      </w:r>
      <w:r w:rsidRPr="0040783B">
        <w:t>. (</w:t>
      </w:r>
      <w:hyperlink r:id="rId55" w:anchor="lawitz2013a">
        <w:r w:rsidRPr="00D32325">
          <w:rPr>
            <w:color w:val="0000FF"/>
            <w:u w:val="single" w:color="0000FF"/>
            <w:lang w:val="en-US"/>
          </w:rPr>
          <w:t>Lawitz</w:t>
        </w:r>
        <w:r w:rsidRPr="0040783B">
          <w:rPr>
            <w:color w:val="0000FF"/>
            <w:u w:val="single" w:color="0000FF"/>
          </w:rPr>
          <w:t>, 2013</w:t>
        </w:r>
        <w:r w:rsidRPr="00D32325">
          <w:rPr>
            <w:color w:val="0000FF"/>
            <w:u w:val="single" w:color="0000FF"/>
            <w:lang w:val="en-US"/>
          </w:rPr>
          <w:t>a</w:t>
        </w:r>
      </w:hyperlink>
      <w:r w:rsidRPr="0040783B">
        <w:t xml:space="preserve"> </w:t>
      </w:r>
      <w:r w:rsidRPr="0040783B">
        <w:rPr>
          <w:sz w:val="15"/>
        </w:rPr>
        <w:t>[28]</w:t>
      </w:r>
      <w:r w:rsidRPr="0040783B">
        <w:t>)</w:t>
      </w:r>
    </w:p>
    <w:p w:rsidR="0040783B" w:rsidRPr="0040783B" w:rsidRDefault="0040783B" w:rsidP="00E36270">
      <w:pPr>
        <w:spacing w:after="386"/>
        <w:ind w:left="-5" w:right="15"/>
      </w:pPr>
      <w:r w:rsidRPr="0040783B">
        <w:t>ШТИФТ-</w:t>
      </w:r>
      <w:r w:rsidRPr="00D32325">
        <w:rPr>
          <w:lang w:val="en-US"/>
        </w:rPr>
        <w:t>IFN</w:t>
      </w:r>
      <w:r w:rsidRPr="0040783B">
        <w:t xml:space="preserve"> и </w:t>
      </w:r>
      <w:r w:rsidRPr="00D32325">
        <w:rPr>
          <w:lang w:val="en-US"/>
        </w:rPr>
        <w:t>RBV</w:t>
      </w:r>
      <w:r w:rsidRPr="0040783B">
        <w:t xml:space="preserve"> в течение 48 недель для наивных лечением пациентов, зараженных генотипом </w:t>
      </w:r>
      <w:r w:rsidRPr="00D32325">
        <w:rPr>
          <w:lang w:val="en-US"/>
        </w:rPr>
        <w:t>HCV</w:t>
      </w:r>
      <w:r w:rsidRPr="0040783B">
        <w:t xml:space="preserve"> 1, были заменены лечением, включающим </w:t>
      </w:r>
      <w:r w:rsidRPr="00D32325">
        <w:rPr>
          <w:lang w:val="en-US"/>
        </w:rPr>
        <w:t>DAAs</w:t>
      </w:r>
      <w:r w:rsidRPr="0040783B">
        <w:t>, и не должны использоваться.</w:t>
      </w:r>
    </w:p>
    <w:p w:rsidR="0040783B" w:rsidRPr="0040783B" w:rsidRDefault="0040783B" w:rsidP="00E36270">
      <w:pPr>
        <w:pStyle w:val="2"/>
        <w:ind w:left="-5"/>
      </w:pPr>
      <w:r w:rsidRPr="00D32325">
        <w:rPr>
          <w:lang w:val="en-US"/>
        </w:rPr>
        <w:t>II</w:t>
      </w:r>
      <w:r w:rsidRPr="0040783B">
        <w:t>. Генотип 2</w:t>
      </w:r>
    </w:p>
    <w:p w:rsidR="0040783B" w:rsidRPr="0040783B" w:rsidRDefault="0040783B" w:rsidP="00E36270">
      <w:pPr>
        <w:pBdr>
          <w:top w:val="single" w:sz="18" w:space="0" w:color="1B6F1B"/>
          <w:left w:val="single" w:sz="18" w:space="0" w:color="1B6F1B"/>
          <w:bottom w:val="single" w:sz="18" w:space="0" w:color="1B6F1B"/>
          <w:right w:val="single" w:sz="18" w:space="0" w:color="1B6F1B"/>
        </w:pBdr>
        <w:shd w:val="clear" w:color="auto" w:fill="FFFAF6"/>
        <w:spacing w:after="145" w:line="260" w:lineRule="auto"/>
        <w:ind w:left="260" w:right="154"/>
      </w:pPr>
      <w:r w:rsidRPr="0040783B">
        <w:rPr>
          <w:rFonts w:ascii="Calibri" w:eastAsia="Calibri" w:hAnsi="Calibri" w:cs="Calibri"/>
          <w:b/>
          <w:i/>
          <w:color w:val="145314"/>
          <w:sz w:val="24"/>
        </w:rPr>
        <w:t xml:space="preserve">Рекомендуемый режим для наивных лечением пациентов с генотипом </w:t>
      </w:r>
      <w:r w:rsidRPr="00D32325">
        <w:rPr>
          <w:rFonts w:ascii="Calibri" w:eastAsia="Calibri" w:hAnsi="Calibri" w:cs="Calibri"/>
          <w:b/>
          <w:i/>
          <w:color w:val="145314"/>
          <w:sz w:val="24"/>
          <w:lang w:val="en-US"/>
        </w:rPr>
        <w:t>HCV</w:t>
      </w:r>
      <w:r w:rsidRPr="0040783B">
        <w:rPr>
          <w:rFonts w:ascii="Calibri" w:eastAsia="Calibri" w:hAnsi="Calibri" w:cs="Calibri"/>
          <w:b/>
          <w:i/>
          <w:color w:val="145314"/>
          <w:sz w:val="24"/>
        </w:rPr>
        <w:t xml:space="preserve"> 2</w:t>
      </w:r>
    </w:p>
    <w:p w:rsidR="0040783B" w:rsidRPr="0040783B" w:rsidRDefault="0040783B" w:rsidP="00E36270">
      <w:pPr>
        <w:pBdr>
          <w:top w:val="single" w:sz="18" w:space="0" w:color="1B6F1B"/>
          <w:left w:val="single" w:sz="18" w:space="0" w:color="1B6F1B"/>
          <w:bottom w:val="single" w:sz="18" w:space="0" w:color="1B6F1B"/>
          <w:right w:val="single" w:sz="18" w:space="0" w:color="1B6F1B"/>
        </w:pBdr>
        <w:shd w:val="clear" w:color="auto" w:fill="FFFAF6"/>
        <w:spacing w:after="145" w:line="260" w:lineRule="auto"/>
        <w:ind w:left="260" w:right="154"/>
      </w:pPr>
      <w:r w:rsidRPr="0040783B">
        <w:rPr>
          <w:rFonts w:ascii="Calibri" w:eastAsia="Calibri" w:hAnsi="Calibri" w:cs="Calibri"/>
          <w:b/>
          <w:i/>
          <w:color w:val="145314"/>
          <w:sz w:val="24"/>
        </w:rPr>
        <w:t>инфекция.</w:t>
      </w:r>
    </w:p>
    <w:p w:rsidR="0040783B" w:rsidRPr="0040783B" w:rsidRDefault="0040783B" w:rsidP="00E36270">
      <w:pPr>
        <w:pBdr>
          <w:top w:val="single" w:sz="18" w:space="0" w:color="1B6F1B"/>
          <w:left w:val="single" w:sz="18" w:space="0" w:color="1B6F1B"/>
          <w:bottom w:val="single" w:sz="18" w:space="0" w:color="1B6F1B"/>
          <w:right w:val="single" w:sz="18" w:space="0" w:color="1B6F1B"/>
        </w:pBdr>
        <w:shd w:val="clear" w:color="auto" w:fill="FFFAF6"/>
        <w:spacing w:after="196" w:line="266" w:lineRule="auto"/>
        <w:ind w:left="260" w:right="154"/>
      </w:pPr>
      <w:r w:rsidRPr="0040783B">
        <w:rPr>
          <w:rFonts w:ascii="Calibri" w:eastAsia="Calibri" w:hAnsi="Calibri" w:cs="Calibri"/>
          <w:b/>
          <w:color w:val="3077B8"/>
          <w:sz w:val="26"/>
        </w:rPr>
        <w:t xml:space="preserve">Ежедневный </w:t>
      </w:r>
      <w:r w:rsidRPr="00D32325">
        <w:rPr>
          <w:rFonts w:ascii="Calibri" w:eastAsia="Calibri" w:hAnsi="Calibri" w:cs="Calibri"/>
          <w:b/>
          <w:color w:val="3077B8"/>
          <w:sz w:val="26"/>
          <w:lang w:val="en-US"/>
        </w:rPr>
        <w:t>daclatasvir</w:t>
      </w:r>
      <w:r w:rsidRPr="0040783B">
        <w:rPr>
          <w:rFonts w:ascii="Calibri" w:eastAsia="Calibri" w:hAnsi="Calibri" w:cs="Calibri"/>
          <w:b/>
          <w:color w:val="3077B8"/>
          <w:sz w:val="26"/>
        </w:rPr>
        <w:t xml:space="preserve"> (60 мг*) и </w:t>
      </w:r>
      <w:r w:rsidRPr="00D32325">
        <w:rPr>
          <w:rFonts w:ascii="Calibri" w:eastAsia="Calibri" w:hAnsi="Calibri" w:cs="Calibri"/>
          <w:b/>
          <w:color w:val="3077B8"/>
          <w:sz w:val="26"/>
          <w:lang w:val="en-US"/>
        </w:rPr>
        <w:t>sofosbuvir</w:t>
      </w:r>
      <w:r w:rsidRPr="0040783B">
        <w:rPr>
          <w:rFonts w:ascii="Calibri" w:eastAsia="Calibri" w:hAnsi="Calibri" w:cs="Calibri"/>
          <w:b/>
          <w:color w:val="3077B8"/>
          <w:sz w:val="26"/>
        </w:rPr>
        <w:t xml:space="preserve"> (400 мг) в течение 12 недель рекомендуется для наивных лечением пациентов с генотипом </w:t>
      </w:r>
      <w:r w:rsidRPr="00D32325">
        <w:rPr>
          <w:rFonts w:ascii="Calibri" w:eastAsia="Calibri" w:hAnsi="Calibri" w:cs="Calibri"/>
          <w:b/>
          <w:color w:val="3077B8"/>
          <w:sz w:val="26"/>
          <w:lang w:val="en-US"/>
        </w:rPr>
        <w:t>HCV</w:t>
      </w:r>
      <w:r w:rsidRPr="0040783B">
        <w:rPr>
          <w:rFonts w:ascii="Calibri" w:eastAsia="Calibri" w:hAnsi="Calibri" w:cs="Calibri"/>
          <w:b/>
          <w:color w:val="3077B8"/>
          <w:sz w:val="26"/>
        </w:rPr>
        <w:t xml:space="preserve"> 2 инфекции, кто не может вынести </w:t>
      </w:r>
      <w:r w:rsidRPr="00D32325">
        <w:rPr>
          <w:rFonts w:ascii="Calibri" w:eastAsia="Calibri" w:hAnsi="Calibri" w:cs="Calibri"/>
          <w:b/>
          <w:color w:val="3077B8"/>
          <w:sz w:val="26"/>
          <w:lang w:val="en-US"/>
        </w:rPr>
        <w:t>RBV</w:t>
      </w:r>
      <w:r w:rsidRPr="0040783B">
        <w:rPr>
          <w:rFonts w:ascii="Calibri" w:eastAsia="Calibri" w:hAnsi="Calibri" w:cs="Calibri"/>
          <w:b/>
          <w:color w:val="3077B8"/>
          <w:sz w:val="26"/>
        </w:rPr>
        <w:t>.</w:t>
      </w:r>
    </w:p>
    <w:p w:rsidR="0040783B" w:rsidRPr="0040783B" w:rsidRDefault="0040783B" w:rsidP="00E36270">
      <w:pPr>
        <w:pBdr>
          <w:top w:val="single" w:sz="18" w:space="0" w:color="1B6F1B"/>
          <w:left w:val="single" w:sz="18" w:space="0" w:color="1B6F1B"/>
          <w:bottom w:val="single" w:sz="18" w:space="0" w:color="1B6F1B"/>
          <w:right w:val="single" w:sz="18" w:space="0" w:color="1B6F1B"/>
        </w:pBdr>
        <w:shd w:val="clear" w:color="auto" w:fill="FFFAF6"/>
        <w:spacing w:after="288" w:line="265" w:lineRule="auto"/>
        <w:ind w:left="260" w:right="154"/>
      </w:pPr>
      <w:r w:rsidRPr="0040783B">
        <w:rPr>
          <w:rFonts w:ascii="Calibri" w:eastAsia="Calibri" w:hAnsi="Calibri" w:cs="Calibri"/>
          <w:b/>
        </w:rPr>
        <w:t xml:space="preserve">Рейтинг: </w:t>
      </w:r>
      <w:r w:rsidRPr="0040783B">
        <w:t xml:space="preserve">класс </w:t>
      </w:r>
      <w:r w:rsidRPr="00D32325">
        <w:rPr>
          <w:lang w:val="en-US"/>
        </w:rPr>
        <w:t>IIa</w:t>
      </w:r>
      <w:r w:rsidRPr="0040783B">
        <w:t xml:space="preserve">, уровень </w:t>
      </w:r>
      <w:r w:rsidRPr="00D32325">
        <w:rPr>
          <w:lang w:val="en-US"/>
        </w:rPr>
        <w:t>B</w:t>
      </w:r>
    </w:p>
    <w:p w:rsidR="0040783B" w:rsidRPr="0040783B" w:rsidRDefault="0040783B" w:rsidP="00E36270">
      <w:pPr>
        <w:pBdr>
          <w:top w:val="single" w:sz="18" w:space="0" w:color="1B6F1B"/>
          <w:left w:val="single" w:sz="18" w:space="0" w:color="1B6F1B"/>
          <w:bottom w:val="single" w:sz="18" w:space="0" w:color="1B6F1B"/>
          <w:right w:val="single" w:sz="18" w:space="0" w:color="1B6F1B"/>
        </w:pBdr>
        <w:shd w:val="clear" w:color="auto" w:fill="FFFAF6"/>
        <w:spacing w:after="196" w:line="266" w:lineRule="auto"/>
        <w:ind w:left="260" w:right="154"/>
      </w:pPr>
      <w:r w:rsidRPr="0040783B">
        <w:rPr>
          <w:rFonts w:ascii="Calibri" w:eastAsia="Calibri" w:hAnsi="Calibri" w:cs="Calibri"/>
          <w:b/>
          <w:color w:val="3077B8"/>
          <w:sz w:val="26"/>
        </w:rPr>
        <w:t xml:space="preserve">Ежедневный </w:t>
      </w:r>
      <w:r w:rsidRPr="00D32325">
        <w:rPr>
          <w:rFonts w:ascii="Calibri" w:eastAsia="Calibri" w:hAnsi="Calibri" w:cs="Calibri"/>
          <w:b/>
          <w:color w:val="3077B8"/>
          <w:sz w:val="26"/>
          <w:lang w:val="en-US"/>
        </w:rPr>
        <w:t>sofosbuvir</w:t>
      </w:r>
      <w:r w:rsidRPr="0040783B">
        <w:rPr>
          <w:rFonts w:ascii="Calibri" w:eastAsia="Calibri" w:hAnsi="Calibri" w:cs="Calibri"/>
          <w:b/>
          <w:color w:val="3077B8"/>
          <w:sz w:val="26"/>
        </w:rPr>
        <w:t xml:space="preserve"> (400 мг) и основанный на весе </w:t>
      </w:r>
      <w:r w:rsidRPr="00D32325">
        <w:rPr>
          <w:rFonts w:ascii="Calibri" w:eastAsia="Calibri" w:hAnsi="Calibri" w:cs="Calibri"/>
          <w:b/>
          <w:color w:val="3077B8"/>
          <w:sz w:val="26"/>
          <w:lang w:val="en-US"/>
        </w:rPr>
        <w:t>RBV</w:t>
      </w:r>
      <w:r w:rsidRPr="0040783B">
        <w:rPr>
          <w:rFonts w:ascii="Calibri" w:eastAsia="Calibri" w:hAnsi="Calibri" w:cs="Calibri"/>
          <w:b/>
          <w:color w:val="3077B8"/>
          <w:sz w:val="26"/>
        </w:rPr>
        <w:t xml:space="preserve"> в течение 12 недель рекомендуются для наивных лечением пациентов с генотипом </w:t>
      </w:r>
      <w:r w:rsidRPr="00D32325">
        <w:rPr>
          <w:rFonts w:ascii="Calibri" w:eastAsia="Calibri" w:hAnsi="Calibri" w:cs="Calibri"/>
          <w:b/>
          <w:color w:val="3077B8"/>
          <w:sz w:val="26"/>
          <w:lang w:val="en-US"/>
        </w:rPr>
        <w:t>HCV</w:t>
      </w:r>
      <w:r w:rsidRPr="0040783B">
        <w:rPr>
          <w:rFonts w:ascii="Calibri" w:eastAsia="Calibri" w:hAnsi="Calibri" w:cs="Calibri"/>
          <w:b/>
          <w:color w:val="3077B8"/>
          <w:sz w:val="26"/>
        </w:rPr>
        <w:t xml:space="preserve"> 2 инфекции.</w:t>
      </w:r>
    </w:p>
    <w:p w:rsidR="0040783B" w:rsidRPr="0040783B" w:rsidRDefault="0040783B" w:rsidP="00E36270">
      <w:pPr>
        <w:pBdr>
          <w:top w:val="single" w:sz="18" w:space="0" w:color="1B6F1B"/>
          <w:left w:val="single" w:sz="18" w:space="0" w:color="1B6F1B"/>
          <w:bottom w:val="single" w:sz="18" w:space="0" w:color="1B6F1B"/>
          <w:right w:val="single" w:sz="18" w:space="0" w:color="1B6F1B"/>
        </w:pBdr>
        <w:shd w:val="clear" w:color="auto" w:fill="FFFAF6"/>
        <w:spacing w:after="288" w:line="265" w:lineRule="auto"/>
        <w:ind w:left="260" w:right="154"/>
      </w:pPr>
      <w:r w:rsidRPr="0040783B">
        <w:rPr>
          <w:rFonts w:ascii="Calibri" w:eastAsia="Calibri" w:hAnsi="Calibri" w:cs="Calibri"/>
          <w:b/>
        </w:rPr>
        <w:t xml:space="preserve">Рейтинг: </w:t>
      </w:r>
      <w:r w:rsidRPr="0040783B">
        <w:t xml:space="preserve">класс </w:t>
      </w:r>
      <w:r w:rsidRPr="00D32325">
        <w:rPr>
          <w:lang w:val="en-US"/>
        </w:rPr>
        <w:t>I</w:t>
      </w:r>
      <w:r w:rsidRPr="0040783B">
        <w:t xml:space="preserve">, уровень </w:t>
      </w:r>
      <w:r w:rsidRPr="00D32325">
        <w:rPr>
          <w:lang w:val="en-US"/>
        </w:rPr>
        <w:t>A</w:t>
      </w:r>
    </w:p>
    <w:p w:rsidR="0040783B" w:rsidRPr="0040783B" w:rsidRDefault="0040783B" w:rsidP="00E36270">
      <w:pPr>
        <w:pBdr>
          <w:top w:val="single" w:sz="18" w:space="0" w:color="1B6F1B"/>
          <w:left w:val="single" w:sz="18" w:space="0" w:color="1B6F1B"/>
          <w:bottom w:val="single" w:sz="18" w:space="0" w:color="1B6F1B"/>
          <w:right w:val="single" w:sz="18" w:space="0" w:color="1B6F1B"/>
        </w:pBdr>
        <w:shd w:val="clear" w:color="auto" w:fill="FFFAF6"/>
        <w:spacing w:after="82" w:line="266" w:lineRule="auto"/>
        <w:ind w:left="260" w:right="154"/>
      </w:pPr>
      <w:r w:rsidRPr="0040783B">
        <w:rPr>
          <w:rFonts w:ascii="Calibri" w:eastAsia="Calibri" w:hAnsi="Calibri" w:cs="Calibri"/>
          <w:b/>
          <w:color w:val="3077B8"/>
          <w:sz w:val="26"/>
        </w:rPr>
        <w:t>Продление лечения к 16 неделям рекомендуется у больных с циррозом.</w:t>
      </w:r>
    </w:p>
    <w:p w:rsidR="0040783B" w:rsidRPr="0040783B" w:rsidRDefault="0040783B" w:rsidP="00E36270">
      <w:pPr>
        <w:pBdr>
          <w:top w:val="single" w:sz="18" w:space="0" w:color="1B6F1B"/>
          <w:left w:val="single" w:sz="18" w:space="0" w:color="1B6F1B"/>
          <w:bottom w:val="single" w:sz="18" w:space="0" w:color="1B6F1B"/>
          <w:right w:val="single" w:sz="18" w:space="0" w:color="1B6F1B"/>
        </w:pBdr>
        <w:shd w:val="clear" w:color="auto" w:fill="FFFAF6"/>
        <w:spacing w:after="0" w:line="265" w:lineRule="auto"/>
        <w:ind w:left="260" w:right="154"/>
      </w:pPr>
      <w:r w:rsidRPr="0040783B">
        <w:rPr>
          <w:rFonts w:ascii="Calibri" w:eastAsia="Calibri" w:hAnsi="Calibri" w:cs="Calibri"/>
          <w:b/>
        </w:rPr>
        <w:t xml:space="preserve">Рейтинг: </w:t>
      </w:r>
      <w:r w:rsidRPr="0040783B">
        <w:t xml:space="preserve">класс </w:t>
      </w:r>
      <w:r w:rsidRPr="00D32325">
        <w:rPr>
          <w:lang w:val="en-US"/>
        </w:rPr>
        <w:t>IIb</w:t>
      </w:r>
      <w:r w:rsidRPr="0040783B">
        <w:t xml:space="preserve">, уровень </w:t>
      </w:r>
      <w:r w:rsidRPr="00D32325">
        <w:rPr>
          <w:lang w:val="en-US"/>
        </w:rPr>
        <w:t>C</w:t>
      </w:r>
    </w:p>
    <w:p w:rsidR="0040783B" w:rsidRPr="0040783B" w:rsidRDefault="0040783B" w:rsidP="00E36270">
      <w:pPr>
        <w:pBdr>
          <w:top w:val="single" w:sz="18" w:space="0" w:color="1B6F1B"/>
          <w:left w:val="single" w:sz="18" w:space="0" w:color="1B6F1B"/>
          <w:bottom w:val="single" w:sz="18" w:space="0" w:color="1B6F1B"/>
          <w:right w:val="single" w:sz="18" w:space="0" w:color="1B6F1B"/>
        </w:pBdr>
        <w:shd w:val="clear" w:color="auto" w:fill="FFFAF6"/>
        <w:spacing w:after="3"/>
        <w:ind w:left="250" w:right="154"/>
      </w:pPr>
      <w:r w:rsidRPr="0040783B">
        <w:t xml:space="preserve"> </w:t>
      </w:r>
    </w:p>
    <w:p w:rsidR="0040783B" w:rsidRPr="0040783B" w:rsidRDefault="0040783B" w:rsidP="00E36270">
      <w:pPr>
        <w:pBdr>
          <w:top w:val="single" w:sz="18" w:space="0" w:color="1B6F1B"/>
          <w:left w:val="single" w:sz="18" w:space="0" w:color="1B6F1B"/>
          <w:bottom w:val="single" w:sz="18" w:space="0" w:color="1B6F1B"/>
          <w:right w:val="single" w:sz="18" w:space="0" w:color="1B6F1B"/>
        </w:pBdr>
        <w:shd w:val="clear" w:color="auto" w:fill="FFFAF6"/>
        <w:spacing w:after="703" w:line="265" w:lineRule="auto"/>
        <w:ind w:left="260" w:right="154"/>
      </w:pPr>
      <w:r w:rsidRPr="0040783B">
        <w:t xml:space="preserve">*Доза </w:t>
      </w:r>
      <w:r w:rsidRPr="00D32325">
        <w:rPr>
          <w:lang w:val="en-US"/>
        </w:rPr>
        <w:t>daclatasvir</w:t>
      </w:r>
      <w:r w:rsidRPr="0040783B">
        <w:t xml:space="preserve">, возможно, должна увеличиться или уменьшиться, когда используется сопутствующе с индукторами </w:t>
      </w:r>
      <w:r w:rsidRPr="00D32325">
        <w:rPr>
          <w:lang w:val="en-US"/>
        </w:rPr>
        <w:t>P</w:t>
      </w:r>
      <w:r w:rsidRPr="0040783B">
        <w:t>450 3</w:t>
      </w:r>
      <w:r w:rsidRPr="00D32325">
        <w:rPr>
          <w:lang w:val="en-US"/>
        </w:rPr>
        <w:t>A</w:t>
      </w:r>
      <w:r w:rsidRPr="0040783B">
        <w:t xml:space="preserve">/4 цитохрома и ингибиторами, соответственно. См. информация о предписании и секция на </w:t>
      </w:r>
      <w:hyperlink r:id="rId56">
        <w:r w:rsidRPr="0040783B">
          <w:rPr>
            <w:rFonts w:ascii="Calibri" w:eastAsia="Calibri" w:hAnsi="Calibri" w:cs="Calibri"/>
            <w:b/>
            <w:color w:val="0000FF"/>
            <w:u w:val="single" w:color="0000FF"/>
          </w:rPr>
          <w:t xml:space="preserve">коинфекции </w:t>
        </w:r>
        <w:r w:rsidRPr="00D32325">
          <w:rPr>
            <w:rFonts w:ascii="Calibri" w:eastAsia="Calibri" w:hAnsi="Calibri" w:cs="Calibri"/>
            <w:b/>
            <w:color w:val="0000FF"/>
            <w:u w:val="single" w:color="0000FF"/>
            <w:lang w:val="en-US"/>
          </w:rPr>
          <w:t>HIV</w:t>
        </w:r>
        <w:r w:rsidRPr="0040783B">
          <w:rPr>
            <w:rFonts w:ascii="Calibri" w:eastAsia="Calibri" w:hAnsi="Calibri" w:cs="Calibri"/>
            <w:b/>
            <w:color w:val="0000FF"/>
            <w:u w:val="single" w:color="0000FF"/>
          </w:rPr>
          <w:t>/</w:t>
        </w:r>
        <w:r w:rsidRPr="00D32325">
          <w:rPr>
            <w:rFonts w:ascii="Calibri" w:eastAsia="Calibri" w:hAnsi="Calibri" w:cs="Calibri"/>
            <w:b/>
            <w:color w:val="0000FF"/>
            <w:u w:val="single" w:color="0000FF"/>
            <w:lang w:val="en-US"/>
          </w:rPr>
          <w:t>HCV</w:t>
        </w:r>
      </w:hyperlink>
      <w:r w:rsidRPr="0040783B">
        <w:rPr>
          <w:rFonts w:ascii="Calibri" w:eastAsia="Calibri" w:hAnsi="Calibri" w:cs="Calibri"/>
          <w:b/>
        </w:rPr>
        <w:t xml:space="preserve"> </w:t>
      </w:r>
      <w:r w:rsidRPr="0040783B">
        <w:rPr>
          <w:rFonts w:ascii="Calibri" w:eastAsia="Calibri" w:hAnsi="Calibri" w:cs="Calibri"/>
          <w:b/>
          <w:sz w:val="15"/>
        </w:rPr>
        <w:t>[11]</w:t>
      </w:r>
      <w:r w:rsidRPr="0040783B">
        <w:t xml:space="preserve"> для пациентов на </w:t>
      </w:r>
      <w:r w:rsidRPr="00D32325">
        <w:rPr>
          <w:lang w:val="en-US"/>
        </w:rPr>
        <w:t>antiretoviral</w:t>
      </w:r>
      <w:r w:rsidRPr="0040783B">
        <w:t xml:space="preserve"> терапии.</w:t>
      </w:r>
    </w:p>
    <w:p w:rsidR="0040783B" w:rsidRPr="0040783B" w:rsidRDefault="0040783B" w:rsidP="00E36270">
      <w:pPr>
        <w:ind w:left="-5" w:right="15"/>
      </w:pPr>
      <w:r w:rsidRPr="00D32325">
        <w:rPr>
          <w:lang w:val="en-US"/>
        </w:rPr>
        <w:t>Daclatasvir</w:t>
      </w:r>
      <w:r w:rsidRPr="0040783B">
        <w:t xml:space="preserve"> с </w:t>
      </w:r>
      <w:r w:rsidRPr="00D32325">
        <w:rPr>
          <w:lang w:val="en-US"/>
        </w:rPr>
        <w:t>sofosbuvir</w:t>
      </w:r>
      <w:r w:rsidRPr="0040783B">
        <w:t xml:space="preserve"> в течение 12 недель был одобрен </w:t>
      </w:r>
      <w:r w:rsidRPr="00D32325">
        <w:rPr>
          <w:lang w:val="en-US"/>
        </w:rPr>
        <w:t>FDA</w:t>
      </w:r>
      <w:r w:rsidRPr="0040783B">
        <w:t xml:space="preserve"> для лечения генотипа </w:t>
      </w:r>
      <w:r w:rsidRPr="00D32325">
        <w:rPr>
          <w:lang w:val="en-US"/>
        </w:rPr>
        <w:t>HCV</w:t>
      </w:r>
      <w:r w:rsidRPr="0040783B">
        <w:t xml:space="preserve"> 3 инфекции у больных без и с циррозом. Несмотря на то, что </w:t>
      </w:r>
      <w:r w:rsidRPr="00D32325">
        <w:rPr>
          <w:lang w:val="en-US"/>
        </w:rPr>
        <w:t>daclatasvir</w:t>
      </w:r>
      <w:r w:rsidRPr="0040783B">
        <w:t xml:space="preserve"> с </w:t>
      </w:r>
      <w:r w:rsidRPr="00D32325">
        <w:rPr>
          <w:lang w:val="en-US"/>
        </w:rPr>
        <w:t>sofosbuvir</w:t>
      </w:r>
      <w:r w:rsidRPr="0040783B">
        <w:t xml:space="preserve"> не был одобрен для лечения генотипа </w:t>
      </w:r>
      <w:r w:rsidRPr="00D32325">
        <w:rPr>
          <w:lang w:val="en-US"/>
        </w:rPr>
        <w:t>HCV</w:t>
      </w:r>
      <w:r w:rsidRPr="0040783B">
        <w:t xml:space="preserve">, 2 инфекции, </w:t>
      </w:r>
      <w:r w:rsidRPr="00D32325">
        <w:rPr>
          <w:lang w:val="en-US"/>
        </w:rPr>
        <w:t>daclatasvir</w:t>
      </w:r>
      <w:r w:rsidRPr="0040783B">
        <w:t xml:space="preserve"> поддерживают соответствующую активность против </w:t>
      </w:r>
      <w:r w:rsidRPr="00D32325">
        <w:rPr>
          <w:lang w:val="en-US"/>
        </w:rPr>
        <w:t>HCV</w:t>
      </w:r>
    </w:p>
    <w:p w:rsidR="0040783B" w:rsidRPr="0040783B" w:rsidRDefault="0040783B" w:rsidP="00E36270">
      <w:pPr>
        <w:ind w:left="-5" w:right="15"/>
      </w:pPr>
      <w:r w:rsidRPr="0040783B">
        <w:t>генотип 2 несмотря на 50%-ю эффективную концентрацию (</w:t>
      </w:r>
      <w:r w:rsidRPr="00D32325">
        <w:rPr>
          <w:lang w:val="en-US"/>
        </w:rPr>
        <w:t>EC</w:t>
      </w:r>
      <w:r w:rsidRPr="0040783B">
        <w:t xml:space="preserve">50), увеличивающийся на несколько бревон в присутствии распространенного полиморфизма </w:t>
      </w:r>
      <w:r w:rsidRPr="00D32325">
        <w:rPr>
          <w:lang w:val="en-US"/>
        </w:rPr>
        <w:t>M</w:t>
      </w:r>
      <w:r w:rsidRPr="0040783B">
        <w:t>31. (</w:t>
      </w:r>
      <w:hyperlink r:id="rId57" w:anchor="wang2014">
        <w:r w:rsidRPr="0040783B">
          <w:rPr>
            <w:color w:val="0000FF"/>
            <w:u w:val="single" w:color="0000FF"/>
          </w:rPr>
          <w:t>Ван, 2014 [29]</w:t>
        </w:r>
      </w:hyperlink>
      <w:r w:rsidRPr="0040783B">
        <w:t xml:space="preserve">) Фактически, </w:t>
      </w:r>
      <w:r w:rsidRPr="00D32325">
        <w:rPr>
          <w:lang w:val="en-US"/>
        </w:rPr>
        <w:t>daclatasvir</w:t>
      </w:r>
      <w:r w:rsidRPr="0040783B">
        <w:t xml:space="preserve"> с </w:t>
      </w:r>
      <w:r w:rsidRPr="00D32325">
        <w:rPr>
          <w:lang w:val="en-US"/>
        </w:rPr>
        <w:t>sofosbuvir</w:t>
      </w:r>
      <w:r w:rsidRPr="0040783B">
        <w:t xml:space="preserve"> был связан с высокими показателями </w:t>
      </w:r>
      <w:r w:rsidRPr="00D32325">
        <w:rPr>
          <w:lang w:val="en-US"/>
        </w:rPr>
        <w:t>SVR</w:t>
      </w:r>
      <w:r w:rsidRPr="0040783B">
        <w:t xml:space="preserve"> в наивных лечением пациентах с генотипом </w:t>
      </w:r>
      <w:r w:rsidRPr="00D32325">
        <w:rPr>
          <w:lang w:val="en-US"/>
        </w:rPr>
        <w:t>HCV</w:t>
      </w:r>
      <w:r w:rsidRPr="0040783B">
        <w:t xml:space="preserve"> 2 заражения и 12 неделями и 24 неделями терапии. (</w:t>
      </w:r>
      <w:hyperlink r:id="rId58" w:anchor="wyles2015">
        <w:r w:rsidRPr="00D32325">
          <w:rPr>
            <w:color w:val="0000FF"/>
            <w:u w:val="single" w:color="0000FF"/>
            <w:lang w:val="en-US"/>
          </w:rPr>
          <w:t>Wyles</w:t>
        </w:r>
        <w:r w:rsidRPr="0040783B">
          <w:rPr>
            <w:color w:val="0000FF"/>
            <w:u w:val="single" w:color="0000FF"/>
          </w:rPr>
          <w:t>, 2015 [12]</w:t>
        </w:r>
      </w:hyperlink>
      <w:r w:rsidRPr="0040783B">
        <w:t>); (</w:t>
      </w:r>
      <w:hyperlink r:id="rId59" w:anchor="sulkowski2014">
        <w:r w:rsidRPr="0040783B">
          <w:rPr>
            <w:color w:val="0000FF"/>
            <w:u w:val="single" w:color="0000FF"/>
          </w:rPr>
          <w:t>Сульковский, 2014 [13]</w:t>
        </w:r>
      </w:hyperlink>
      <w:r w:rsidRPr="0040783B">
        <w:t xml:space="preserve">) неясно, существует ли подгруппа генотипа </w:t>
      </w:r>
      <w:r w:rsidRPr="00D32325">
        <w:rPr>
          <w:lang w:val="en-US"/>
        </w:rPr>
        <w:t>HCV</w:t>
      </w:r>
      <w:r w:rsidRPr="0040783B">
        <w:t xml:space="preserve"> 2 зараженные пациенты, которые извлекли бы выгоду из продления лечения к 24 неделям. Для пациентов, которые требуют лечения, но не могут вынести </w:t>
      </w:r>
      <w:r w:rsidRPr="00D32325">
        <w:rPr>
          <w:lang w:val="en-US"/>
        </w:rPr>
        <w:t>RBV</w:t>
      </w:r>
      <w:r w:rsidRPr="0040783B">
        <w:t xml:space="preserve">, альтернативный режим </w:t>
      </w:r>
      <w:r w:rsidRPr="00D32325">
        <w:rPr>
          <w:lang w:val="en-US"/>
        </w:rPr>
        <w:t>daclatasvir</w:t>
      </w:r>
      <w:r w:rsidRPr="0040783B">
        <w:t xml:space="preserve"> с </w:t>
      </w:r>
      <w:r w:rsidRPr="00D32325">
        <w:rPr>
          <w:lang w:val="en-US"/>
        </w:rPr>
        <w:t>sofosbuvir</w:t>
      </w:r>
      <w:r w:rsidRPr="0040783B">
        <w:t xml:space="preserve"> для 12</w:t>
      </w:r>
    </w:p>
    <w:p w:rsidR="0040783B" w:rsidRPr="0040783B" w:rsidRDefault="0040783B" w:rsidP="00E36270">
      <w:pPr>
        <w:ind w:left="-5" w:right="15"/>
      </w:pPr>
      <w:r w:rsidRPr="0040783B">
        <w:t>недели рекомендуются, и рассмотрение продления лечения к 24 неделям для пациентов с плохими начальными особенностями (цирроз) обоснованное.</w:t>
      </w:r>
    </w:p>
    <w:p w:rsidR="0040783B" w:rsidRDefault="0040783B" w:rsidP="00E36270">
      <w:pPr>
        <w:spacing w:after="726"/>
        <w:ind w:left="-5" w:right="15"/>
      </w:pPr>
      <w:r w:rsidRPr="00D32325">
        <w:rPr>
          <w:lang w:val="en-US"/>
        </w:rPr>
        <w:t>Sofosbuvir</w:t>
      </w:r>
      <w:r w:rsidRPr="0040783B">
        <w:t xml:space="preserve"> (400 мг ежедневно) был объединен с основанным на весе </w:t>
      </w:r>
      <w:r w:rsidRPr="00D32325">
        <w:rPr>
          <w:lang w:val="en-US"/>
        </w:rPr>
        <w:t>RBV</w:t>
      </w:r>
      <w:r w:rsidRPr="0040783B">
        <w:t xml:space="preserve"> для наивных лечением пациентов с генотипом </w:t>
      </w:r>
      <w:r w:rsidRPr="00D32325">
        <w:rPr>
          <w:lang w:val="en-US"/>
        </w:rPr>
        <w:t>HCV</w:t>
      </w:r>
      <w:r w:rsidRPr="0040783B">
        <w:t xml:space="preserve"> 2 инфекции в 3 клинических испытаниях, каждом из который зарегистрированные пациенты с генотипом </w:t>
      </w:r>
      <w:r w:rsidRPr="00D32325">
        <w:rPr>
          <w:lang w:val="en-US"/>
        </w:rPr>
        <w:t>HCV</w:t>
      </w:r>
      <w:r w:rsidRPr="0040783B">
        <w:t xml:space="preserve"> 2 или 3: ДЕЛЕНИЕ, ПОЗИТРОН и ВАЛЕНТНОСТЬ. (</w:t>
      </w:r>
      <w:hyperlink r:id="rId60" w:anchor="lawitz2013a">
        <w:r w:rsidRPr="00D32325">
          <w:rPr>
            <w:color w:val="0000FF"/>
            <w:u w:val="single" w:color="0000FF"/>
            <w:lang w:val="en-US"/>
          </w:rPr>
          <w:t>Lawitz</w:t>
        </w:r>
        <w:r w:rsidRPr="0040783B">
          <w:rPr>
            <w:color w:val="0000FF"/>
            <w:u w:val="single" w:color="0000FF"/>
          </w:rPr>
          <w:t>, 2013</w:t>
        </w:r>
        <w:r w:rsidRPr="00D32325">
          <w:rPr>
            <w:color w:val="0000FF"/>
            <w:u w:val="single" w:color="0000FF"/>
            <w:lang w:val="en-US"/>
          </w:rPr>
          <w:t>a</w:t>
        </w:r>
      </w:hyperlink>
      <w:r w:rsidRPr="0040783B">
        <w:t xml:space="preserve"> </w:t>
      </w:r>
      <w:r w:rsidRPr="0040783B">
        <w:rPr>
          <w:sz w:val="15"/>
        </w:rPr>
        <w:t>[28]</w:t>
      </w:r>
      <w:r w:rsidRPr="0040783B">
        <w:t>); (</w:t>
      </w:r>
      <w:hyperlink r:id="rId61" w:anchor="jacobson2013c">
        <w:r w:rsidRPr="0040783B">
          <w:rPr>
            <w:color w:val="0000FF"/>
            <w:u w:val="single" w:color="0000FF"/>
          </w:rPr>
          <w:t>Джэйкобсон, 2013</w:t>
        </w:r>
        <w:r w:rsidRPr="00D32325">
          <w:rPr>
            <w:color w:val="0000FF"/>
            <w:u w:val="single" w:color="0000FF"/>
            <w:lang w:val="en-US"/>
          </w:rPr>
          <w:t>c</w:t>
        </w:r>
      </w:hyperlink>
      <w:r w:rsidRPr="0040783B">
        <w:t xml:space="preserve"> </w:t>
      </w:r>
      <w:r w:rsidRPr="0040783B">
        <w:rPr>
          <w:sz w:val="15"/>
        </w:rPr>
        <w:t>[30]</w:t>
      </w:r>
      <w:r w:rsidRPr="0040783B">
        <w:t>); (</w:t>
      </w:r>
      <w:hyperlink r:id="rId62" w:anchor="zeuzem2013c">
        <w:r w:rsidRPr="00D32325">
          <w:rPr>
            <w:color w:val="0000FF"/>
            <w:u w:val="single" w:color="0000FF"/>
            <w:lang w:val="en-US"/>
          </w:rPr>
          <w:t>Zeuzem</w:t>
        </w:r>
        <w:r w:rsidRPr="0040783B">
          <w:rPr>
            <w:color w:val="0000FF"/>
            <w:u w:val="single" w:color="0000FF"/>
          </w:rPr>
          <w:t>, 2013</w:t>
        </w:r>
        <w:r w:rsidRPr="00D32325">
          <w:rPr>
            <w:color w:val="0000FF"/>
            <w:u w:val="single" w:color="0000FF"/>
            <w:lang w:val="en-US"/>
          </w:rPr>
          <w:t>c</w:t>
        </w:r>
      </w:hyperlink>
      <w:r w:rsidRPr="0040783B">
        <w:t xml:space="preserve"> </w:t>
      </w:r>
      <w:r w:rsidRPr="0040783B">
        <w:rPr>
          <w:sz w:val="15"/>
        </w:rPr>
        <w:t>[31]</w:t>
      </w:r>
      <w:r w:rsidRPr="0040783B">
        <w:t>), исследование ДЕЛЕНИЯ рандомизировало пациентов, чтобы получить ежедневный ШТИФТ-</w:t>
      </w:r>
      <w:r w:rsidRPr="00D32325">
        <w:rPr>
          <w:lang w:val="en-US"/>
        </w:rPr>
        <w:t>IFN</w:t>
      </w:r>
      <w:r w:rsidRPr="0040783B">
        <w:t xml:space="preserve"> и </w:t>
      </w:r>
      <w:r w:rsidRPr="00D32325">
        <w:rPr>
          <w:lang w:val="en-US"/>
        </w:rPr>
        <w:t>RBV</w:t>
      </w:r>
      <w:r w:rsidRPr="0040783B">
        <w:t xml:space="preserve"> (800 мг) в течение 24 недель или </w:t>
      </w:r>
      <w:r w:rsidRPr="00D32325">
        <w:rPr>
          <w:lang w:val="en-US"/>
        </w:rPr>
        <w:t>sofosbuvir</w:t>
      </w:r>
      <w:r w:rsidRPr="0040783B">
        <w:t xml:space="preserve"> плюс ежедневный основанный на весе </w:t>
      </w:r>
      <w:r w:rsidRPr="00D32325">
        <w:rPr>
          <w:lang w:val="en-US"/>
        </w:rPr>
        <w:t>RBV</w:t>
      </w:r>
      <w:r w:rsidRPr="0040783B">
        <w:t xml:space="preserve"> в течение 12 недель. (</w:t>
      </w:r>
      <w:hyperlink r:id="rId63" w:anchor="lawitz2013a">
        <w:r w:rsidRPr="00D32325">
          <w:rPr>
            <w:color w:val="0000FF"/>
            <w:u w:val="single" w:color="0000FF"/>
            <w:lang w:val="en-US"/>
          </w:rPr>
          <w:t>Lawitz</w:t>
        </w:r>
        <w:r w:rsidRPr="0040783B">
          <w:rPr>
            <w:color w:val="0000FF"/>
            <w:u w:val="single" w:color="0000FF"/>
          </w:rPr>
          <w:t>, 2013</w:t>
        </w:r>
        <w:r w:rsidRPr="00D32325">
          <w:rPr>
            <w:color w:val="0000FF"/>
            <w:u w:val="single" w:color="0000FF"/>
            <w:lang w:val="en-US"/>
          </w:rPr>
          <w:t>a</w:t>
        </w:r>
      </w:hyperlink>
      <w:r w:rsidRPr="0040783B">
        <w:t xml:space="preserve"> </w:t>
      </w:r>
      <w:r w:rsidRPr="0040783B">
        <w:rPr>
          <w:sz w:val="15"/>
        </w:rPr>
        <w:t>[28]</w:t>
      </w:r>
      <w:r w:rsidRPr="0040783B">
        <w:t xml:space="preserve">) уровень </w:t>
      </w:r>
      <w:r w:rsidRPr="00D32325">
        <w:rPr>
          <w:lang w:val="en-US"/>
        </w:rPr>
        <w:t>SVR</w:t>
      </w:r>
      <w:r w:rsidRPr="0040783B">
        <w:t xml:space="preserve"> был выше (94%) у больных, кто получил </w:t>
      </w:r>
      <w:r w:rsidRPr="00D32325">
        <w:rPr>
          <w:lang w:val="en-US"/>
        </w:rPr>
        <w:t>sofosbuvir</w:t>
      </w:r>
      <w:r w:rsidRPr="0040783B">
        <w:t xml:space="preserve"> плюс </w:t>
      </w:r>
      <w:r w:rsidRPr="00D32325">
        <w:rPr>
          <w:lang w:val="en-US"/>
        </w:rPr>
        <w:t>RBV</w:t>
      </w:r>
      <w:r w:rsidRPr="0040783B">
        <w:t>, чем в тех, кто получил ШТИФТ-</w:t>
      </w:r>
      <w:r w:rsidRPr="00D32325">
        <w:rPr>
          <w:lang w:val="en-US"/>
        </w:rPr>
        <w:t>IFN</w:t>
      </w:r>
      <w:r w:rsidRPr="0040783B">
        <w:t xml:space="preserve"> и </w:t>
      </w:r>
      <w:r w:rsidRPr="00D32325">
        <w:rPr>
          <w:lang w:val="en-US"/>
        </w:rPr>
        <w:t>RBV</w:t>
      </w:r>
      <w:r w:rsidRPr="0040783B">
        <w:t xml:space="preserve"> (78%; 52/67). Через все 3 испытания 201 из 214 (94%-х) пациентов с генотипом </w:t>
      </w:r>
      <w:r w:rsidRPr="00D32325">
        <w:rPr>
          <w:lang w:val="en-US"/>
        </w:rPr>
        <w:t>HCV</w:t>
      </w:r>
      <w:r w:rsidRPr="0040783B">
        <w:t xml:space="preserve"> 2 достигли </w:t>
      </w:r>
      <w:r w:rsidRPr="00D32325">
        <w:rPr>
          <w:lang w:val="en-US"/>
        </w:rPr>
        <w:t>SVR</w:t>
      </w:r>
      <w:r w:rsidRPr="0040783B">
        <w:t xml:space="preserve"> с </w:t>
      </w:r>
      <w:r w:rsidRPr="00D32325">
        <w:rPr>
          <w:lang w:val="en-US"/>
        </w:rPr>
        <w:t>sofosbuvir</w:t>
      </w:r>
      <w:r w:rsidRPr="0040783B">
        <w:t xml:space="preserve"> плюс </w:t>
      </w:r>
      <w:r w:rsidRPr="00D32325">
        <w:rPr>
          <w:lang w:val="en-US"/>
        </w:rPr>
        <w:t>RBV</w:t>
      </w:r>
      <w:r w:rsidRPr="0040783B">
        <w:t xml:space="preserve">. Среди пациентов, не достигнувших </w:t>
      </w:r>
      <w:r w:rsidRPr="00D32325">
        <w:rPr>
          <w:lang w:val="en-US"/>
        </w:rPr>
        <w:t>SVR</w:t>
      </w:r>
      <w:r w:rsidRPr="0040783B">
        <w:t xml:space="preserve">, </w:t>
      </w:r>
      <w:r w:rsidRPr="00D32325">
        <w:rPr>
          <w:lang w:val="en-US"/>
        </w:rPr>
        <w:t>sofosbuvir</w:t>
      </w:r>
      <w:r w:rsidRPr="0040783B">
        <w:t xml:space="preserve"> связанные с устойчивостью варианты (</w:t>
      </w:r>
      <w:r w:rsidRPr="00D32325">
        <w:rPr>
          <w:lang w:val="en-US"/>
        </w:rPr>
        <w:t>RAVs</w:t>
      </w:r>
      <w:r w:rsidRPr="0040783B">
        <w:t>), не были обнаружены. (</w:t>
      </w:r>
      <w:hyperlink r:id="rId64" w:anchor="usfda2013a">
        <w:r w:rsidRPr="0040783B">
          <w:rPr>
            <w:color w:val="0000FF"/>
            <w:u w:val="single" w:color="0000FF"/>
          </w:rPr>
          <w:t xml:space="preserve">Американская </w:t>
        </w:r>
        <w:r w:rsidRPr="00D32325">
          <w:rPr>
            <w:color w:val="0000FF"/>
            <w:u w:val="single" w:color="0000FF"/>
            <w:lang w:val="en-US"/>
          </w:rPr>
          <w:t>FDA</w:t>
        </w:r>
        <w:r w:rsidRPr="0040783B">
          <w:rPr>
            <w:color w:val="0000FF"/>
            <w:u w:val="single" w:color="0000FF"/>
          </w:rPr>
          <w:t>, 2013</w:t>
        </w:r>
        <w:r w:rsidRPr="00D32325">
          <w:rPr>
            <w:color w:val="0000FF"/>
            <w:u w:val="single" w:color="0000FF"/>
            <w:lang w:val="en-US"/>
          </w:rPr>
          <w:t>a</w:t>
        </w:r>
      </w:hyperlink>
      <w:r w:rsidRPr="0040783B">
        <w:t xml:space="preserve"> </w:t>
      </w:r>
      <w:r w:rsidRPr="0040783B">
        <w:rPr>
          <w:sz w:val="15"/>
        </w:rPr>
        <w:t>[32]</w:t>
      </w:r>
      <w:r w:rsidRPr="0040783B">
        <w:t xml:space="preserve">) На основе реальных данных от здоровья Трио, более низкие доли ответивших были замечены в наивных лечением пациентах с циррозом, чем в тех без цирроза. </w:t>
      </w:r>
      <w:r>
        <w:t>(</w:t>
      </w:r>
      <w:hyperlink r:id="rId65" w:anchor="dieterich2014a">
        <w:r>
          <w:rPr>
            <w:color w:val="0000FF"/>
            <w:u w:val="single" w:color="0000FF"/>
          </w:rPr>
          <w:t>Dieterich, 2014a</w:t>
        </w:r>
      </w:hyperlink>
      <w:r>
        <w:t xml:space="preserve"> </w:t>
      </w:r>
      <w:r>
        <w:rPr>
          <w:sz w:val="15"/>
        </w:rPr>
        <w:t>[33]</w:t>
      </w:r>
      <w:r>
        <w:t>) Несмотря на то, что данные, чтобы поддержать вытяжение терапии еще не доступны наивным лечением пациентам с генотипом HCV 2 инфекции, более длительная продолжительность лечения, улучшает SVR в испытанных лечением пациентах с циррозом. (</w:t>
      </w:r>
      <w:hyperlink r:id="rId66" w:anchor="jacobson2013c">
        <w:r>
          <w:rPr>
            <w:color w:val="0000FF"/>
            <w:u w:val="single" w:color="0000FF"/>
          </w:rPr>
          <w:t>Джэйкобсон, 2013c</w:t>
        </w:r>
      </w:hyperlink>
      <w:r>
        <w:t xml:space="preserve"> </w:t>
      </w:r>
      <w:r>
        <w:rPr>
          <w:sz w:val="15"/>
        </w:rPr>
        <w:t>[30]</w:t>
      </w:r>
      <w:r>
        <w:t>); (</w:t>
      </w:r>
      <w:hyperlink r:id="rId67" w:anchor="foster2015">
        <w:r>
          <w:rPr>
            <w:color w:val="0000FF"/>
            <w:u w:val="single" w:color="0000FF"/>
          </w:rPr>
          <w:t>Фостер, 2015 [34]</w:t>
        </w:r>
      </w:hyperlink>
      <w:r>
        <w:t>) Вследствие небольших чисел пациентов с генотипом HCV 2 инфекции и цирроз, зарегистрированный в регистрационных испытаниях, несколько фаз, исследования IIIb являются продолжающимися, чтобы специфично определить адекватную продолжительность лечения для этой подгруппы пациентов (NCT01962441, NCT 02128542). Пока эти данные не доступны, продлевая лечение от 12 недель до 16 недель в генотипе HCV, который рекомендуют 2 зараженным пациентам с циррозом</w:t>
      </w:r>
      <w:r>
        <w:rPr>
          <w:rFonts w:ascii="Calibri" w:eastAsia="Calibri" w:hAnsi="Calibri" w:cs="Calibri"/>
          <w:b/>
        </w:rPr>
        <w:t>.</w:t>
      </w:r>
    </w:p>
    <w:p w:rsidR="0040783B" w:rsidRDefault="0040783B" w:rsidP="00E36270">
      <w:pPr>
        <w:pBdr>
          <w:top w:val="single" w:sz="18" w:space="0" w:color="1B6F1B"/>
          <w:left w:val="single" w:sz="18" w:space="0" w:color="1B6F1B"/>
          <w:bottom w:val="single" w:sz="18" w:space="0" w:color="1B6F1B"/>
          <w:right w:val="single" w:sz="18" w:space="0" w:color="1B6F1B"/>
        </w:pBdr>
        <w:shd w:val="clear" w:color="auto" w:fill="FFFAF6"/>
        <w:spacing w:after="145" w:line="260" w:lineRule="auto"/>
        <w:ind w:left="260" w:right="289"/>
      </w:pPr>
      <w:r>
        <w:rPr>
          <w:rFonts w:ascii="Calibri" w:eastAsia="Calibri" w:hAnsi="Calibri" w:cs="Calibri"/>
          <w:b/>
          <w:i/>
          <w:color w:val="145314"/>
          <w:sz w:val="24"/>
        </w:rPr>
        <w:t>Альтернативные режимы для наивных лечением пациентов с генотипом HCV 2 инфекции.</w:t>
      </w:r>
    </w:p>
    <w:p w:rsidR="0040783B" w:rsidRDefault="0040783B" w:rsidP="00E36270">
      <w:pPr>
        <w:pBdr>
          <w:top w:val="single" w:sz="18" w:space="0" w:color="1B6F1B"/>
          <w:left w:val="single" w:sz="18" w:space="0" w:color="1B6F1B"/>
          <w:bottom w:val="single" w:sz="18" w:space="0" w:color="1B6F1B"/>
          <w:right w:val="single" w:sz="18" w:space="0" w:color="1B6F1B"/>
        </w:pBdr>
        <w:shd w:val="clear" w:color="auto" w:fill="FFFAF6"/>
        <w:spacing w:after="656" w:line="266" w:lineRule="auto"/>
        <w:ind w:left="260" w:right="289"/>
      </w:pPr>
      <w:r>
        <w:rPr>
          <w:rFonts w:ascii="Calibri" w:eastAsia="Calibri" w:hAnsi="Calibri" w:cs="Calibri"/>
          <w:b/>
          <w:color w:val="3077B8"/>
          <w:sz w:val="26"/>
        </w:rPr>
        <w:t>Ни один.</w:t>
      </w:r>
    </w:p>
    <w:p w:rsidR="0040783B" w:rsidRDefault="0040783B" w:rsidP="00E36270">
      <w:pPr>
        <w:spacing w:after="727"/>
        <w:ind w:left="-5" w:right="15"/>
      </w:pPr>
      <w:r>
        <w:t>Несколько других доступных DAAs имеют активность в естественных условиях против генотипа HCV 2. Simeprevir имеет умеренную потенцию против генотипа HCV 2, но не был формально проверен в сочетании с sofosbuvir в генотипе HCV 2 инфекции. (</w:t>
      </w:r>
      <w:hyperlink r:id="rId68" w:anchor="moreno2012">
        <w:r>
          <w:rPr>
            <w:color w:val="0000FF"/>
            <w:u w:val="single" w:color="0000FF"/>
          </w:rPr>
          <w:t>Морено, 2012 [35]</w:t>
        </w:r>
      </w:hyperlink>
      <w:r>
        <w:t>)</w:t>
      </w:r>
    </w:p>
    <w:p w:rsidR="0040783B" w:rsidRDefault="0040783B" w:rsidP="00E36270">
      <w:pPr>
        <w:pBdr>
          <w:top w:val="single" w:sz="18" w:space="0" w:color="E00000"/>
          <w:left w:val="single" w:sz="18" w:space="0" w:color="E00000"/>
          <w:bottom w:val="single" w:sz="18" w:space="0" w:color="E00000"/>
          <w:right w:val="single" w:sz="18" w:space="0" w:color="E00000"/>
        </w:pBdr>
        <w:shd w:val="clear" w:color="auto" w:fill="F4E5E5"/>
        <w:spacing w:after="88" w:line="261" w:lineRule="auto"/>
        <w:ind w:left="260"/>
      </w:pPr>
      <w:r>
        <w:rPr>
          <w:rFonts w:ascii="Calibri" w:eastAsia="Calibri" w:hAnsi="Calibri" w:cs="Calibri"/>
          <w:b/>
          <w:i/>
          <w:sz w:val="24"/>
        </w:rPr>
        <w:t>Следующие режимы НЕ рекомендуются для наивных лечением пациентов с генотипом HCV 2.</w:t>
      </w:r>
    </w:p>
    <w:p w:rsidR="0040783B" w:rsidRDefault="0040783B" w:rsidP="00E36270">
      <w:pPr>
        <w:pBdr>
          <w:top w:val="single" w:sz="18" w:space="0" w:color="E00000"/>
          <w:left w:val="single" w:sz="18" w:space="0" w:color="E00000"/>
          <w:bottom w:val="single" w:sz="18" w:space="0" w:color="E00000"/>
          <w:right w:val="single" w:sz="18" w:space="0" w:color="E00000"/>
        </w:pBdr>
        <w:shd w:val="clear" w:color="auto" w:fill="F4E5E5"/>
        <w:spacing w:after="3" w:line="266" w:lineRule="auto"/>
        <w:ind w:left="260"/>
      </w:pPr>
      <w:r>
        <w:rPr>
          <w:rFonts w:ascii="Segoe UI Symbol" w:eastAsia="Segoe UI Symbol" w:hAnsi="Segoe UI Symbol" w:cs="Segoe UI Symbol"/>
          <w:sz w:val="9"/>
        </w:rPr>
        <w:t>■</w:t>
      </w:r>
      <w:r>
        <w:rPr>
          <w:rFonts w:ascii="Segoe UI Symbol" w:eastAsia="Segoe UI Symbol" w:hAnsi="Segoe UI Symbol" w:cs="Segoe UI Symbol"/>
          <w:sz w:val="14"/>
          <w:vertAlign w:val="subscript"/>
        </w:rPr>
        <w:t xml:space="preserve"> </w:t>
      </w:r>
      <w:r>
        <w:rPr>
          <w:rFonts w:ascii="Calibri" w:eastAsia="Calibri" w:hAnsi="Calibri" w:cs="Calibri"/>
          <w:b/>
        </w:rPr>
        <w:t xml:space="preserve">ШТИФТ-IFN и RBV для 24 weeksRating: </w:t>
      </w:r>
      <w:r>
        <w:t>Класс IIb, Уровень A</w:t>
      </w:r>
    </w:p>
    <w:p w:rsidR="0040783B" w:rsidRDefault="0040783B" w:rsidP="00E36270">
      <w:pPr>
        <w:pBdr>
          <w:top w:val="single" w:sz="18" w:space="0" w:color="E00000"/>
          <w:left w:val="single" w:sz="18" w:space="0" w:color="E00000"/>
          <w:bottom w:val="single" w:sz="18" w:space="0" w:color="E00000"/>
          <w:right w:val="single" w:sz="18" w:space="0" w:color="E00000"/>
        </w:pBdr>
        <w:shd w:val="clear" w:color="auto" w:fill="F4E5E5"/>
        <w:spacing w:after="3" w:line="266" w:lineRule="auto"/>
        <w:ind w:left="260"/>
      </w:pPr>
      <w:r>
        <w:rPr>
          <w:rFonts w:ascii="Segoe UI Symbol" w:eastAsia="Segoe UI Symbol" w:hAnsi="Segoe UI Symbol" w:cs="Segoe UI Symbol"/>
          <w:sz w:val="9"/>
        </w:rPr>
        <w:t>■</w:t>
      </w:r>
      <w:r>
        <w:rPr>
          <w:rFonts w:ascii="Segoe UI Symbol" w:eastAsia="Segoe UI Symbol" w:hAnsi="Segoe UI Symbol" w:cs="Segoe UI Symbol"/>
          <w:sz w:val="14"/>
          <w:vertAlign w:val="subscript"/>
        </w:rPr>
        <w:t xml:space="preserve"> </w:t>
      </w:r>
      <w:r>
        <w:rPr>
          <w:rFonts w:ascii="Calibri" w:eastAsia="Calibri" w:hAnsi="Calibri" w:cs="Calibri"/>
          <w:b/>
        </w:rPr>
        <w:t xml:space="preserve">Монотерапия со ШТИФТОМ-IFN, RBV или прямым действием antiviralRating: </w:t>
      </w:r>
      <w:r>
        <w:t>Класс III, Уровень A</w:t>
      </w:r>
    </w:p>
    <w:p w:rsidR="0040783B" w:rsidRDefault="0040783B" w:rsidP="00E36270">
      <w:pPr>
        <w:pBdr>
          <w:top w:val="single" w:sz="18" w:space="0" w:color="E00000"/>
          <w:left w:val="single" w:sz="18" w:space="0" w:color="E00000"/>
          <w:bottom w:val="single" w:sz="18" w:space="0" w:color="E00000"/>
          <w:right w:val="single" w:sz="18" w:space="0" w:color="E00000"/>
        </w:pBdr>
        <w:shd w:val="clear" w:color="auto" w:fill="F4E5E5"/>
        <w:spacing w:after="3" w:line="266" w:lineRule="auto"/>
        <w:ind w:left="260"/>
      </w:pPr>
      <w:r>
        <w:rPr>
          <w:rFonts w:ascii="Segoe UI Symbol" w:eastAsia="Segoe UI Symbol" w:hAnsi="Segoe UI Symbol" w:cs="Segoe UI Symbol"/>
          <w:sz w:val="9"/>
        </w:rPr>
        <w:t>■</w:t>
      </w:r>
      <w:r>
        <w:rPr>
          <w:rFonts w:ascii="Segoe UI Symbol" w:eastAsia="Segoe UI Symbol" w:hAnsi="Segoe UI Symbol" w:cs="Segoe UI Symbol"/>
          <w:sz w:val="14"/>
          <w:vertAlign w:val="subscript"/>
        </w:rPr>
        <w:t xml:space="preserve"> </w:t>
      </w:r>
      <w:r>
        <w:rPr>
          <w:rFonts w:ascii="Calibri" w:eastAsia="Calibri" w:hAnsi="Calibri" w:cs="Calibri"/>
          <w:b/>
        </w:rPr>
        <w:t xml:space="preserve">Telaprevir-, boceprevir-, или ledipasvir-содержащий regimensRating: </w:t>
      </w:r>
      <w:r>
        <w:t>Класс III, Уровень A</w:t>
      </w:r>
    </w:p>
    <w:p w:rsidR="0040783B" w:rsidRDefault="0040783B" w:rsidP="00E36270">
      <w:pPr>
        <w:spacing w:after="3"/>
      </w:pPr>
      <w:r>
        <w:t xml:space="preserve"> </w:t>
      </w:r>
    </w:p>
    <w:p w:rsidR="0040783B" w:rsidRDefault="0040783B" w:rsidP="00E36270">
      <w:pPr>
        <w:ind w:left="-5" w:right="15"/>
      </w:pPr>
      <w:r>
        <w:t>ПРИВЯЖИТЕ-IFN 2a (180 мкг еженедельно), или ШТИФТ-IFN 2b (1,5 мкг/кг еженедельно) плюс RBV (800 мг ежедневно) в течение 24 недель был по сравнению с sofosbuvir (400 мг ежедневно) плюс основанный на весе RBV в испытании ДЕЛЕНИЯ. (</w:t>
      </w:r>
      <w:hyperlink r:id="rId69" w:anchor="lawitz2013a">
        <w:r>
          <w:rPr>
            <w:color w:val="0000FF"/>
            <w:u w:val="single" w:color="0000FF"/>
          </w:rPr>
          <w:t>Lawitz, 2013a</w:t>
        </w:r>
      </w:hyperlink>
      <w:r>
        <w:t xml:space="preserve"> </w:t>
      </w:r>
      <w:r>
        <w:rPr>
          <w:sz w:val="15"/>
        </w:rPr>
        <w:t>[28]</w:t>
      </w:r>
      <w:r>
        <w:t>), уровень SVR12, достигнутый со ШТИФТОМ-IFN и RBV, был ниже, чем достигнутый с sofosbuvir и RBV в целом (78% и 95%, соответственно) и в подгруппах пациентов с или без цирроза. Безопасность и толерантность ШТИФТА-IFN и RBV были низшими по сравнению с наблюдаемым с sofosbuvir и RBV с большей частотой нежелательных явлений, о которых сообщают, и лабораторных патологий и более высокого уровня прекращения лечения вследствие нежелательных явлений. Далее, терапия со ШТИФТОМ-IFN и RBV составляет 12 недель дольше, чем с sofosbuvir плюс RBV.</w:t>
      </w:r>
    </w:p>
    <w:p w:rsidR="0040783B" w:rsidRDefault="0040783B" w:rsidP="00E36270">
      <w:pPr>
        <w:spacing w:after="387"/>
        <w:ind w:left="-5" w:right="15"/>
      </w:pPr>
      <w:r>
        <w:t>Из-за его плохой активности в пробирке и в естественных условиях, boceprevir не должен использоваться в качестве терапии для пациентов с генотипом HCV 2 инфекции. Несмотря на то, что telaprevir плюс ШТИФТ-IFN и RBV имеет антивирусную активность против генотипа HCV 2, (</w:t>
      </w:r>
      <w:hyperlink r:id="rId70" w:anchor="foster2011">
        <w:r>
          <w:rPr>
            <w:color w:val="0000FF"/>
            <w:u w:val="single" w:color="0000FF"/>
          </w:rPr>
          <w:t>Фостер, 2011 [36]</w:t>
        </w:r>
      </w:hyperlink>
      <w:r>
        <w:t>), дополнительные неблагоприятные эффекты и более длительная продолжительность требуемой терапии не поддерживают использование этого режима. Точно так же несмотря на то, что ledipasvir имеет соответствующую активность против генотипа HCV 2, это потеряно в присутствии очень распространенного</w:t>
      </w:r>
      <w:r>
        <w:rPr>
          <w:rFonts w:ascii="Calibri" w:eastAsia="Calibri" w:hAnsi="Calibri" w:cs="Calibri"/>
          <w:b/>
        </w:rPr>
        <w:t xml:space="preserve"> </w:t>
      </w:r>
      <w:r>
        <w:t>полиморфизма за 31 миллион фунтов и таким образом не рекомендуется для лечения генотипа HCV 2 инфекции. (</w:t>
      </w:r>
      <w:hyperlink r:id="rId71" w:anchor="nakamoto2014">
        <w:r>
          <w:rPr>
            <w:color w:val="0000FF"/>
            <w:u w:val="single" w:color="0000FF"/>
          </w:rPr>
          <w:t>Nakamoto, 2014 [37]</w:t>
        </w:r>
      </w:hyperlink>
      <w:r>
        <w:t>)</w:t>
      </w:r>
    </w:p>
    <w:p w:rsidR="0040783B" w:rsidRDefault="0040783B" w:rsidP="00E36270">
      <w:pPr>
        <w:pStyle w:val="2"/>
        <w:ind w:left="-5"/>
      </w:pPr>
      <w:r>
        <w:t>III. Генотип 3</w:t>
      </w:r>
    </w:p>
    <w:p w:rsidR="0040783B" w:rsidRDefault="0040783B" w:rsidP="00E36270">
      <w:pPr>
        <w:pBdr>
          <w:top w:val="single" w:sz="18" w:space="0" w:color="1B6F1B"/>
          <w:left w:val="single" w:sz="18" w:space="0" w:color="1B6F1B"/>
          <w:bottom w:val="single" w:sz="18" w:space="0" w:color="1B6F1B"/>
          <w:right w:val="single" w:sz="18" w:space="0" w:color="1B6F1B"/>
        </w:pBdr>
        <w:shd w:val="clear" w:color="auto" w:fill="FFFAF6"/>
        <w:spacing w:after="145" w:line="260" w:lineRule="auto"/>
        <w:ind w:left="260" w:right="154"/>
      </w:pPr>
      <w:r>
        <w:rPr>
          <w:rFonts w:ascii="Calibri" w:eastAsia="Calibri" w:hAnsi="Calibri" w:cs="Calibri"/>
          <w:b/>
          <w:i/>
          <w:color w:val="145314"/>
          <w:sz w:val="24"/>
        </w:rPr>
        <w:t>Рекомендуемые режимы для наивных лечением пациентов с генотипом HCV 3 инфекции.</w:t>
      </w:r>
    </w:p>
    <w:p w:rsidR="0040783B" w:rsidRDefault="0040783B" w:rsidP="00E36270">
      <w:pPr>
        <w:pBdr>
          <w:top w:val="single" w:sz="18" w:space="0" w:color="1B6F1B"/>
          <w:left w:val="single" w:sz="18" w:space="0" w:color="1B6F1B"/>
          <w:bottom w:val="single" w:sz="18" w:space="0" w:color="1B6F1B"/>
          <w:right w:val="single" w:sz="18" w:space="0" w:color="1B6F1B"/>
        </w:pBdr>
        <w:shd w:val="clear" w:color="auto" w:fill="FFFAF6"/>
        <w:spacing w:after="196" w:line="266" w:lineRule="auto"/>
        <w:ind w:left="260" w:right="154"/>
      </w:pPr>
      <w:r>
        <w:rPr>
          <w:rFonts w:ascii="Calibri" w:eastAsia="Calibri" w:hAnsi="Calibri" w:cs="Calibri"/>
          <w:b/>
          <w:color w:val="3077B8"/>
          <w:sz w:val="26"/>
        </w:rPr>
        <w:t>Ежедневный daclatasvir (60 мг*) и sofosbuvir (400 мг) в течение 12 недель (никакой цирроз) или 24 недель с или без основанного на весе RBV (цирроз) рекомендуется для наивных лечением пациентов с генотипом HCV 3</w:t>
      </w:r>
    </w:p>
    <w:p w:rsidR="0040783B" w:rsidRDefault="0040783B" w:rsidP="00E36270">
      <w:pPr>
        <w:pBdr>
          <w:top w:val="single" w:sz="18" w:space="0" w:color="1B6F1B"/>
          <w:left w:val="single" w:sz="18" w:space="0" w:color="1B6F1B"/>
          <w:bottom w:val="single" w:sz="18" w:space="0" w:color="1B6F1B"/>
          <w:right w:val="single" w:sz="18" w:space="0" w:color="1B6F1B"/>
        </w:pBdr>
        <w:shd w:val="clear" w:color="auto" w:fill="FFFAF6"/>
        <w:spacing w:after="196" w:line="266" w:lineRule="auto"/>
        <w:ind w:left="260" w:right="154"/>
      </w:pPr>
      <w:r>
        <w:rPr>
          <w:rFonts w:ascii="Calibri" w:eastAsia="Calibri" w:hAnsi="Calibri" w:cs="Calibri"/>
          <w:b/>
          <w:color w:val="3077B8"/>
          <w:sz w:val="26"/>
        </w:rPr>
        <w:t>инфекция.</w:t>
      </w:r>
    </w:p>
    <w:p w:rsidR="0040783B" w:rsidRDefault="0040783B" w:rsidP="00E36270">
      <w:pPr>
        <w:pBdr>
          <w:top w:val="single" w:sz="18" w:space="0" w:color="1B6F1B"/>
          <w:left w:val="single" w:sz="18" w:space="0" w:color="1B6F1B"/>
          <w:bottom w:val="single" w:sz="18" w:space="0" w:color="1B6F1B"/>
          <w:right w:val="single" w:sz="18" w:space="0" w:color="1B6F1B"/>
        </w:pBdr>
        <w:shd w:val="clear" w:color="auto" w:fill="FFFAF6"/>
        <w:spacing w:after="288" w:line="265" w:lineRule="auto"/>
        <w:ind w:left="260" w:right="154"/>
      </w:pPr>
      <w:r>
        <w:rPr>
          <w:rFonts w:ascii="Calibri" w:eastAsia="Calibri" w:hAnsi="Calibri" w:cs="Calibri"/>
          <w:b/>
        </w:rPr>
        <w:t xml:space="preserve">Рейтинг: </w:t>
      </w:r>
      <w:r>
        <w:t>Класс I, Уровень A (никакой цирроз); Класс IIa, Уровень C (цирроз)</w:t>
      </w:r>
    </w:p>
    <w:p w:rsidR="0040783B" w:rsidRDefault="0040783B" w:rsidP="00E36270">
      <w:pPr>
        <w:pBdr>
          <w:top w:val="single" w:sz="18" w:space="0" w:color="1B6F1B"/>
          <w:left w:val="single" w:sz="18" w:space="0" w:color="1B6F1B"/>
          <w:bottom w:val="single" w:sz="18" w:space="0" w:color="1B6F1B"/>
          <w:right w:val="single" w:sz="18" w:space="0" w:color="1B6F1B"/>
        </w:pBdr>
        <w:shd w:val="clear" w:color="auto" w:fill="FFFAF6"/>
        <w:spacing w:after="82" w:line="266" w:lineRule="auto"/>
        <w:ind w:left="260" w:right="154"/>
      </w:pPr>
      <w:r>
        <w:rPr>
          <w:rFonts w:ascii="Calibri" w:eastAsia="Calibri" w:hAnsi="Calibri" w:cs="Calibri"/>
          <w:b/>
          <w:color w:val="3077B8"/>
          <w:sz w:val="26"/>
        </w:rPr>
        <w:t>Ежедневный sofosbuvir (400 мг) и основанный на весе RBV плюс еженедельный ШТИФТ-IFN в течение 12 недель рекомендуются для IFN-имеющих-право, наивных лечением пациентов с генотипом HCV 3 инфекции.</w:t>
      </w:r>
    </w:p>
    <w:p w:rsidR="0040783B" w:rsidRDefault="0040783B" w:rsidP="00E36270">
      <w:pPr>
        <w:pBdr>
          <w:top w:val="single" w:sz="18" w:space="0" w:color="1B6F1B"/>
          <w:left w:val="single" w:sz="18" w:space="0" w:color="1B6F1B"/>
          <w:bottom w:val="single" w:sz="18" w:space="0" w:color="1B6F1B"/>
          <w:right w:val="single" w:sz="18" w:space="0" w:color="1B6F1B"/>
        </w:pBdr>
        <w:shd w:val="clear" w:color="auto" w:fill="FFFAF6"/>
        <w:spacing w:after="0" w:line="265" w:lineRule="auto"/>
        <w:ind w:left="260" w:right="154"/>
      </w:pPr>
      <w:r>
        <w:rPr>
          <w:rFonts w:ascii="Calibri" w:eastAsia="Calibri" w:hAnsi="Calibri" w:cs="Calibri"/>
          <w:b/>
        </w:rPr>
        <w:t xml:space="preserve">Рейтинг: </w:t>
      </w:r>
      <w:r>
        <w:t>класс I, уровень A</w:t>
      </w:r>
    </w:p>
    <w:p w:rsidR="0040783B" w:rsidRDefault="0040783B" w:rsidP="00E36270">
      <w:pPr>
        <w:pBdr>
          <w:top w:val="single" w:sz="18" w:space="0" w:color="1B6F1B"/>
          <w:left w:val="single" w:sz="18" w:space="0" w:color="1B6F1B"/>
          <w:bottom w:val="single" w:sz="18" w:space="0" w:color="1B6F1B"/>
          <w:right w:val="single" w:sz="18" w:space="0" w:color="1B6F1B"/>
        </w:pBdr>
        <w:shd w:val="clear" w:color="auto" w:fill="FFFAF6"/>
        <w:spacing w:after="3"/>
        <w:ind w:left="250" w:right="154"/>
      </w:pPr>
      <w:r>
        <w:t xml:space="preserve"> </w:t>
      </w:r>
    </w:p>
    <w:p w:rsidR="0040783B" w:rsidRDefault="0040783B" w:rsidP="00E36270">
      <w:pPr>
        <w:pBdr>
          <w:top w:val="single" w:sz="18" w:space="0" w:color="1B6F1B"/>
          <w:left w:val="single" w:sz="18" w:space="0" w:color="1B6F1B"/>
          <w:bottom w:val="single" w:sz="18" w:space="0" w:color="1B6F1B"/>
          <w:right w:val="single" w:sz="18" w:space="0" w:color="1B6F1B"/>
        </w:pBdr>
        <w:shd w:val="clear" w:color="auto" w:fill="FFFAF6"/>
        <w:spacing w:after="703" w:line="265" w:lineRule="auto"/>
        <w:ind w:left="260" w:right="154"/>
      </w:pPr>
      <w:r>
        <w:t xml:space="preserve">*Доза daclatasvir, возможно, должна увеличиться или уменьшиться, когда используется сопутствующе с индукторами P450 3A/4 цитохрома и ингибиторами, соответственно. См. информация о предписании и секция на </w:t>
      </w:r>
      <w:hyperlink r:id="rId72">
        <w:r>
          <w:rPr>
            <w:rFonts w:ascii="Calibri" w:eastAsia="Calibri" w:hAnsi="Calibri" w:cs="Calibri"/>
            <w:b/>
            <w:color w:val="0000FF"/>
            <w:u w:val="single" w:color="0000FF"/>
          </w:rPr>
          <w:t>коинфекции HIV/HCV</w:t>
        </w:r>
      </w:hyperlink>
      <w:r>
        <w:t xml:space="preserve"> </w:t>
      </w:r>
      <w:r>
        <w:rPr>
          <w:sz w:val="15"/>
        </w:rPr>
        <w:t>[11]</w:t>
      </w:r>
      <w:r>
        <w:t xml:space="preserve"> для пациентов на antiretoviral терапии.</w:t>
      </w:r>
    </w:p>
    <w:p w:rsidR="0040783B" w:rsidRDefault="0040783B" w:rsidP="00E36270">
      <w:pPr>
        <w:ind w:left="-5" w:right="15"/>
      </w:pPr>
      <w:r>
        <w:t>Daclatasvir с sofosbuvir в течение 12 недель был одобрен FDA для лечения генотипа HCV 3 инфекции. Рекомендация основывается на СОЮЗНИКЕ 3, исследование фазы III ежедневного ингибитора NS5A daclatasvir плюс sofosbuvir в течение 12 недель; исследование включало 101 наивного лечением пациента и продемонстрировало уровень SVR12 90%. В наивных лечением пациентах без цирроза (Metavir F0-F3) 97% достигли SVR12, и в наивных лечением пациентах с циррозом (Metavir F4), 58% достигли SVR12. (</w:t>
      </w:r>
      <w:hyperlink r:id="rId73" w:anchor="nelson2014">
        <w:r>
          <w:rPr>
            <w:color w:val="0000FF"/>
            <w:u w:val="single" w:color="0000FF"/>
          </w:rPr>
          <w:t>Нельсон, 2014 [38]</w:t>
        </w:r>
      </w:hyperlink>
      <w:r>
        <w:t>). Это предполагает, что пациенты с генотипом, с 3 инфекциями и цирроз, вероятно, извлекут выгоду из вытяжения терапии к 24 неделям. Это было подтверждено в когортных исследованиях, включая европейскую сострадательную программу использования, сообщившую о ставках SVR12 76% по сравнению с 88%, когда daclatasvir и sofosbuvir использовались в течение 12 недель и 24 недель в генотипе HCV 3 зараженные пациенты с циррозом, соответственно. (</w:t>
      </w:r>
      <w:hyperlink r:id="rId74" w:anchor="hezode2015">
        <w:r>
          <w:rPr>
            <w:color w:val="0000FF"/>
            <w:u w:val="single" w:color="0000FF"/>
          </w:rPr>
          <w:t>Hezode, 2015 [39]</w:t>
        </w:r>
      </w:hyperlink>
      <w:r>
        <w:t>)</w:t>
      </w:r>
    </w:p>
    <w:p w:rsidR="0040783B" w:rsidRDefault="0040783B" w:rsidP="00E36270">
      <w:pPr>
        <w:spacing w:after="726"/>
        <w:ind w:left="-5" w:right="15"/>
      </w:pPr>
      <w:r>
        <w:t>Тройная рука, исследование БОЗОНА, которым управляют (</w:t>
      </w:r>
      <w:hyperlink r:id="rId75" w:anchor="foster2015">
        <w:r>
          <w:rPr>
            <w:color w:val="0000FF"/>
            <w:u w:val="single" w:color="0000FF"/>
          </w:rPr>
          <w:t>Фостер, 2015 [34]</w:t>
        </w:r>
      </w:hyperlink>
      <w:r>
        <w:t>) рандомизированно назначила наивным лечением и опытным пациентам с генотипом HCV 3 инфекции или к sofosbuvir и RBV в течение 16 недель (n=196) или к 24 неделям (n=199) или sofosbuvir плюс ШТИФТ-IFN и RBV в течение 12 недель (n=197). Уровень SVR12 среди наивных лечением пациентов составлял 77% (70/91), 88% (83/94) и 95% (89/94) для каждой руки, соответственно. Больший SVR12 в IFN-содержании руки был отмечен независимо от симптома цирроза со ставками SVR12 83% (58/70) по сравнению с 57% (12/21), 90% (65/72) по сравнению с 82% (18/22) и 96% (68/71) по сравнению с 91% (21/23), для тех в каждой руке без по сравнению с с циррозом, соответственно. Несмотря на то, что режим sofosbuvir плюс ШТИФТ-IFN и RBV имеет большие ставки нежелательного явления и требует увеличения контроля, сокращенные 12 недель лечения вместе с превосходящими результатами делает это рекомендуемым режимом для IFN-подходящих-пациентов, пока превосходящие IFN-свободные варианты не определяются.</w:t>
      </w:r>
    </w:p>
    <w:p w:rsidR="0040783B" w:rsidRDefault="0040783B" w:rsidP="00E36270">
      <w:pPr>
        <w:pBdr>
          <w:top w:val="single" w:sz="18" w:space="0" w:color="1B6F1B"/>
          <w:left w:val="single" w:sz="18" w:space="0" w:color="1B6F1B"/>
          <w:bottom w:val="single" w:sz="18" w:space="0" w:color="1B6F1B"/>
          <w:right w:val="single" w:sz="18" w:space="0" w:color="1B6F1B"/>
        </w:pBdr>
        <w:shd w:val="clear" w:color="auto" w:fill="FFFAF6"/>
        <w:spacing w:after="146"/>
        <w:ind w:left="250" w:right="154"/>
        <w:jc w:val="center"/>
      </w:pPr>
      <w:r>
        <w:rPr>
          <w:rFonts w:ascii="Calibri" w:eastAsia="Calibri" w:hAnsi="Calibri" w:cs="Calibri"/>
          <w:b/>
          <w:i/>
          <w:color w:val="145314"/>
          <w:sz w:val="24"/>
        </w:rPr>
        <w:t>Альтернативный режим для наивных лечением пациентов с генотипом HCV 3 инфекции.</w:t>
      </w:r>
    </w:p>
    <w:p w:rsidR="0040783B" w:rsidRDefault="0040783B" w:rsidP="00E36270">
      <w:pPr>
        <w:pBdr>
          <w:top w:val="single" w:sz="18" w:space="0" w:color="1B6F1B"/>
          <w:left w:val="single" w:sz="18" w:space="0" w:color="1B6F1B"/>
          <w:bottom w:val="single" w:sz="18" w:space="0" w:color="1B6F1B"/>
          <w:right w:val="single" w:sz="18" w:space="0" w:color="1B6F1B"/>
        </w:pBdr>
        <w:shd w:val="clear" w:color="auto" w:fill="FFFAF6"/>
        <w:spacing w:after="82" w:line="266" w:lineRule="auto"/>
        <w:ind w:left="260" w:right="154"/>
      </w:pPr>
      <w:r>
        <w:rPr>
          <w:rFonts w:ascii="Calibri" w:eastAsia="Calibri" w:hAnsi="Calibri" w:cs="Calibri"/>
          <w:b/>
          <w:color w:val="3077B8"/>
          <w:sz w:val="26"/>
        </w:rPr>
        <w:t>Ежедневный sofosbuvir (400 мг) и основанный на весе RBV в течение 24 недель являются альтернативным режимом для наивных лечением пациентов с генотипом HCV 3 инфекции, кто IFN-не-имеет-права.</w:t>
      </w:r>
    </w:p>
    <w:p w:rsidR="0040783B" w:rsidRDefault="0040783B" w:rsidP="00E36270">
      <w:pPr>
        <w:pBdr>
          <w:top w:val="single" w:sz="18" w:space="0" w:color="1B6F1B"/>
          <w:left w:val="single" w:sz="18" w:space="0" w:color="1B6F1B"/>
          <w:bottom w:val="single" w:sz="18" w:space="0" w:color="1B6F1B"/>
          <w:right w:val="single" w:sz="18" w:space="0" w:color="1B6F1B"/>
        </w:pBdr>
        <w:shd w:val="clear" w:color="auto" w:fill="FFFAF6"/>
        <w:spacing w:after="703" w:line="265" w:lineRule="auto"/>
        <w:ind w:left="260" w:right="154"/>
      </w:pPr>
      <w:r>
        <w:rPr>
          <w:rFonts w:ascii="Calibri" w:eastAsia="Calibri" w:hAnsi="Calibri" w:cs="Calibri"/>
          <w:b/>
        </w:rPr>
        <w:t xml:space="preserve">Рейтинг: </w:t>
      </w:r>
      <w:r>
        <w:t>класс I, уровень A</w:t>
      </w:r>
    </w:p>
    <w:p w:rsidR="0040783B" w:rsidRDefault="0040783B" w:rsidP="00E36270">
      <w:pPr>
        <w:spacing w:after="726"/>
        <w:ind w:left="-5" w:right="15"/>
      </w:pPr>
      <w:r>
        <w:t>Исследование ВАЛЕНТНОСТИ, зарегистрировавшее пациентов с генотипом HCV 2 или 3, оценило эффективность и безопасность sofosbuvir (400 мг ежедневно) плюс основанный на весе RBV в течение 24 недель. Это испытание включало 250 наивных лечением (42%), и - испытал (58%-е) предметы с генотипом HCV 3 инфекции. Полный уровень SVR12 составлял 84% и был выше среди наивного лечением, чем - опытные пациенты (93% по сравнению с 77%, соответственно). (</w:t>
      </w:r>
      <w:hyperlink r:id="rId76" w:anchor="zeuzem2014">
        <w:r>
          <w:rPr>
            <w:color w:val="0000FF"/>
            <w:u w:val="single" w:color="0000FF"/>
          </w:rPr>
          <w:t xml:space="preserve">Zeuzem, </w:t>
        </w:r>
      </w:hyperlink>
      <w:hyperlink r:id="rId77" w:anchor="zeuzem2014">
        <w:r>
          <w:rPr>
            <w:color w:val="0000FF"/>
            <w:u w:val="single" w:color="0000FF"/>
          </w:rPr>
          <w:t>2014 [40]</w:t>
        </w:r>
      </w:hyperlink>
      <w:r>
        <w:t>) Эти результаты предполагают, что более высокие доли ответивших могут быть достигнуты с 24-недельным режимом sofosbuvir плюс RBV, чем те, о которых сообщают для генотипа HCV 3 зараженные участники, получающие 12-или 16week режимы в ДЕЛЕНИИ (</w:t>
      </w:r>
      <w:hyperlink r:id="rId78" w:anchor="lawitz2013a">
        <w:r>
          <w:rPr>
            <w:color w:val="0000FF"/>
            <w:u w:val="single" w:color="0000FF"/>
          </w:rPr>
          <w:t>Lawitz, 2013a</w:t>
        </w:r>
      </w:hyperlink>
      <w:r>
        <w:t xml:space="preserve"> </w:t>
      </w:r>
      <w:r>
        <w:rPr>
          <w:sz w:val="15"/>
        </w:rPr>
        <w:t>[28]</w:t>
      </w:r>
      <w:r>
        <w:t>) (12 недель, уровень SVR12: 63%), ПОЗИТРОН, (</w:t>
      </w:r>
      <w:hyperlink r:id="rId79" w:anchor="jacobson2013c">
        <w:r>
          <w:rPr>
            <w:color w:val="0000FF"/>
            <w:u w:val="single" w:color="0000FF"/>
          </w:rPr>
          <w:t xml:space="preserve">Джэйкобсон, </w:t>
        </w:r>
      </w:hyperlink>
      <w:hyperlink r:id="rId80" w:anchor="jacobson2013c">
        <w:r>
          <w:rPr>
            <w:color w:val="0000FF"/>
            <w:u w:val="single" w:color="0000FF"/>
          </w:rPr>
          <w:t>2013c</w:t>
        </w:r>
      </w:hyperlink>
      <w:r>
        <w:t xml:space="preserve"> </w:t>
      </w:r>
      <w:r>
        <w:rPr>
          <w:sz w:val="15"/>
        </w:rPr>
        <w:t>[30]</w:t>
      </w:r>
      <w:r>
        <w:t>) (12 недель, уровень SVR 12: 61%) и СЛИЯНИЕ (12 недель, уровень SVR12: 30%; 16 недель, уровень SVR12: 62%) испытания. Основная причина выше уровня SVR с расширенной терапией среди treatmentnaive пациентов происходила из-за сокращения уровня рецидива от 40% до 5%. В поданализе доли ответивших были столь же высоки среди тех с (n=45) и без (n=100) цирроза (92% и 93%, соответственно). Эти данные были подтверждены в рандомизированном испытании БОЗОНА, которым управляют, как описано выше. (</w:t>
      </w:r>
      <w:hyperlink r:id="rId81" w:anchor="foster2015">
        <w:r>
          <w:rPr>
            <w:color w:val="0000FF"/>
            <w:u w:val="single" w:color="0000FF"/>
          </w:rPr>
          <w:t>Приемный, 2015 [34]</w:t>
        </w:r>
      </w:hyperlink>
      <w:r>
        <w:t>) В испытании БОЗОНА этот 24-недельный режим имел ниже ставки SVR, чем 12-недельный режим sofosbuvir плюс ШТИФТ-IFN и RBV в наивных лечением пациентах, независимо от наличия цирроза. Поэтому это - альтернативный режим для пациентов, которые не могут взять IFN.</w:t>
      </w:r>
    </w:p>
    <w:p w:rsidR="0040783B" w:rsidRDefault="0040783B" w:rsidP="00E36270">
      <w:pPr>
        <w:pBdr>
          <w:top w:val="single" w:sz="18" w:space="0" w:color="E00000"/>
          <w:left w:val="single" w:sz="18" w:space="0" w:color="E00000"/>
          <w:right w:val="single" w:sz="18" w:space="0" w:color="E00000"/>
        </w:pBdr>
        <w:shd w:val="clear" w:color="auto" w:fill="F4E5E5"/>
        <w:spacing w:after="0" w:line="261" w:lineRule="auto"/>
        <w:ind w:left="265"/>
      </w:pPr>
      <w:r>
        <w:rPr>
          <w:rFonts w:ascii="Calibri" w:eastAsia="Calibri" w:hAnsi="Calibri" w:cs="Calibri"/>
          <w:b/>
          <w:i/>
          <w:sz w:val="24"/>
        </w:rPr>
        <w:t>Следующие режимы НЕ рекомендуются для наивных лечением пациентов с генотипом HCV 3 инфекции.</w:t>
      </w:r>
    </w:p>
    <w:p w:rsidR="0040783B" w:rsidRDefault="0040783B" w:rsidP="00E36270">
      <w:pPr>
        <w:pBdr>
          <w:left w:val="single" w:sz="18" w:space="0" w:color="E00000"/>
          <w:bottom w:val="single" w:sz="18" w:space="0" w:color="E00000"/>
          <w:right w:val="single" w:sz="18" w:space="0" w:color="E00000"/>
        </w:pBdr>
        <w:shd w:val="clear" w:color="auto" w:fill="F4E5E5"/>
        <w:spacing w:after="0" w:line="270" w:lineRule="auto"/>
        <w:ind w:left="260"/>
      </w:pPr>
      <w:r>
        <w:rPr>
          <w:rFonts w:ascii="Segoe UI Symbol" w:eastAsia="Segoe UI Symbol" w:hAnsi="Segoe UI Symbol" w:cs="Segoe UI Symbol"/>
          <w:sz w:val="9"/>
        </w:rPr>
        <w:t>■</w:t>
      </w:r>
      <w:r>
        <w:rPr>
          <w:rFonts w:ascii="Segoe UI Symbol" w:eastAsia="Segoe UI Symbol" w:hAnsi="Segoe UI Symbol" w:cs="Segoe UI Symbol"/>
          <w:sz w:val="14"/>
          <w:vertAlign w:val="subscript"/>
        </w:rPr>
        <w:t xml:space="preserve"> </w:t>
      </w:r>
      <w:r>
        <w:rPr>
          <w:rFonts w:ascii="Calibri" w:eastAsia="Calibri" w:hAnsi="Calibri" w:cs="Calibri"/>
          <w:b/>
        </w:rPr>
        <w:t xml:space="preserve">ШТИФТ-IFN и RBV в течение 24 недель к 48 weeksRating: </w:t>
      </w:r>
      <w:r>
        <w:t>Класс IIb, Уровень A</w:t>
      </w:r>
    </w:p>
    <w:p w:rsidR="0040783B" w:rsidRDefault="0040783B" w:rsidP="00E36270">
      <w:pPr>
        <w:pBdr>
          <w:left w:val="single" w:sz="18" w:space="0" w:color="E00000"/>
          <w:bottom w:val="single" w:sz="18" w:space="0" w:color="E00000"/>
          <w:right w:val="single" w:sz="18" w:space="0" w:color="E00000"/>
        </w:pBdr>
        <w:shd w:val="clear" w:color="auto" w:fill="F4E5E5"/>
        <w:spacing w:after="0" w:line="270" w:lineRule="auto"/>
        <w:ind w:left="260"/>
      </w:pPr>
      <w:r>
        <w:rPr>
          <w:rFonts w:ascii="Segoe UI Symbol" w:eastAsia="Segoe UI Symbol" w:hAnsi="Segoe UI Symbol" w:cs="Segoe UI Symbol"/>
          <w:sz w:val="9"/>
        </w:rPr>
        <w:t>■</w:t>
      </w:r>
      <w:r>
        <w:rPr>
          <w:rFonts w:ascii="Segoe UI Symbol" w:eastAsia="Segoe UI Symbol" w:hAnsi="Segoe UI Symbol" w:cs="Segoe UI Symbol"/>
          <w:sz w:val="14"/>
          <w:vertAlign w:val="subscript"/>
        </w:rPr>
        <w:t xml:space="preserve"> </w:t>
      </w:r>
      <w:r>
        <w:rPr>
          <w:rFonts w:ascii="Calibri" w:eastAsia="Calibri" w:hAnsi="Calibri" w:cs="Calibri"/>
          <w:b/>
        </w:rPr>
        <w:t xml:space="preserve">Монотерапия со ШТИФТОМ-IFN, RBV или прямым действием antiviralRating: </w:t>
      </w:r>
      <w:r>
        <w:t>Класс III, Уровень A</w:t>
      </w:r>
    </w:p>
    <w:p w:rsidR="0040783B" w:rsidRDefault="0040783B" w:rsidP="00E36270">
      <w:pPr>
        <w:pBdr>
          <w:left w:val="single" w:sz="18" w:space="0" w:color="E00000"/>
          <w:bottom w:val="single" w:sz="18" w:space="0" w:color="E00000"/>
          <w:right w:val="single" w:sz="18" w:space="0" w:color="E00000"/>
        </w:pBdr>
        <w:shd w:val="clear" w:color="auto" w:fill="F4E5E5"/>
        <w:spacing w:after="693" w:line="270" w:lineRule="auto"/>
        <w:ind w:left="411" w:hanging="161"/>
      </w:pPr>
      <w:r>
        <w:rPr>
          <w:rFonts w:ascii="Segoe UI Symbol" w:eastAsia="Segoe UI Symbol" w:hAnsi="Segoe UI Symbol" w:cs="Segoe UI Symbol"/>
          <w:sz w:val="9"/>
        </w:rPr>
        <w:t>■</w:t>
      </w:r>
      <w:r>
        <w:rPr>
          <w:rFonts w:ascii="Segoe UI Symbol" w:eastAsia="Segoe UI Symbol" w:hAnsi="Segoe UI Symbol" w:cs="Segoe UI Symbol"/>
          <w:sz w:val="14"/>
          <w:vertAlign w:val="subscript"/>
        </w:rPr>
        <w:t xml:space="preserve"> </w:t>
      </w:r>
      <w:r>
        <w:rPr>
          <w:rFonts w:ascii="Calibri" w:eastAsia="Calibri" w:hAnsi="Calibri" w:cs="Calibri"/>
          <w:b/>
        </w:rPr>
        <w:t xml:space="preserve">Telaprevir-, boceprevir-, или находящиеся в simeprevir режимы не должен использоваться для пациентов с генотипом 3 инфекции HCV. Рейтинг: </w:t>
      </w:r>
      <w:r>
        <w:t>Класс III, Уровень A</w:t>
      </w:r>
    </w:p>
    <w:p w:rsidR="0040783B" w:rsidRDefault="0040783B" w:rsidP="00E36270">
      <w:pPr>
        <w:spacing w:after="3"/>
      </w:pPr>
      <w:r>
        <w:t xml:space="preserve"> </w:t>
      </w:r>
    </w:p>
    <w:p w:rsidR="0040783B" w:rsidRDefault="0040783B" w:rsidP="00E36270">
      <w:pPr>
        <w:ind w:left="-5" w:right="15"/>
      </w:pPr>
      <w:r>
        <w:t>Несмотря на то, что комбинация ШТИФТА-IFN и RBV является одобренным FDA режимом для генотипа HCV 3 инфекции, ее менее приемлемый профиль неблагоприятного эффекта требует более интенсивного контроля, и ее полная более низкая эффективность делает его менее желательным, чем рекомендуемый режим.</w:t>
      </w:r>
    </w:p>
    <w:p w:rsidR="0040783B" w:rsidRDefault="0040783B" w:rsidP="00E36270">
      <w:pPr>
        <w:ind w:left="-5" w:right="15"/>
      </w:pPr>
      <w:r>
        <w:t>Из-за их ограниченного в пробирке и в естественных условиях активность против генотипа HCV 3, boceprevir, telaprevir, и simeprevir не должна использоваться в качестве терапии для пациентов с генотипом HCV 3 инфекции.</w:t>
      </w:r>
    </w:p>
    <w:p w:rsidR="0040783B" w:rsidRDefault="0040783B" w:rsidP="00E36270">
      <w:pPr>
        <w:spacing w:after="387"/>
        <w:ind w:left="-5" w:right="15"/>
      </w:pPr>
      <w:r>
        <w:t>Очень ограниченные данные о фазе II доступны от одноцентрового исследования (ЭЛЕКТРОН-II), исследовавший ledipasvir/sofosbuvir с (n=26) или без (n=25) RBV в течение 12 недель в наивных лечением пациентах с генотипом HCV 3 инфекции, у 15% которого был цирроз. Все 26 (100%-х) пациентов в RBV-содержании руки достигли SVR12 по сравнению с 16 из 25 (64%) из тех в RBV-свободной руке. Несмотря на то, что эти данные указывают на возможность, что добавление ledipasvir к sofosbuvir и RBV может сократить курс терапии для людей с генотипом HCV 3 инфекции, высокий EC50 ledipasvir для генотипа HCV 3 инфекции (</w:t>
      </w:r>
      <w:hyperlink r:id="rId82" w:anchor="wong2013">
        <w:r>
          <w:rPr>
            <w:color w:val="0000FF"/>
            <w:u w:val="single" w:color="0000FF"/>
          </w:rPr>
          <w:t xml:space="preserve">Вонг, </w:t>
        </w:r>
      </w:hyperlink>
      <w:hyperlink r:id="rId83" w:anchor="wong2013">
        <w:r>
          <w:rPr>
            <w:color w:val="0000FF"/>
            <w:u w:val="single" w:color="0000FF"/>
          </w:rPr>
          <w:t>2013 [41]</w:t>
        </w:r>
      </w:hyperlink>
      <w:r>
        <w:t>); (</w:t>
      </w:r>
      <w:hyperlink r:id="rId84" w:anchor="kohler2014">
        <w:r>
          <w:rPr>
            <w:color w:val="0000FF"/>
            <w:u w:val="single" w:color="0000FF"/>
          </w:rPr>
          <w:t>Колер, 2014 [42]</w:t>
        </w:r>
      </w:hyperlink>
      <w:r>
        <w:t>), и гомогенное население пациента училось, ограничивают generalizability этого исследования. Пока дальнейшие данные не доступны, чтобы подтвердить эти результаты исследования, рекомендация для использования этого режима не может быть сделана. (</w:t>
      </w:r>
      <w:hyperlink r:id="rId85" w:anchor="gane2013b">
        <w:r>
          <w:rPr>
            <w:color w:val="0000FF"/>
            <w:u w:val="single" w:color="0000FF"/>
          </w:rPr>
          <w:t>Gane, 2013b</w:t>
        </w:r>
      </w:hyperlink>
      <w:r>
        <w:t xml:space="preserve"> </w:t>
      </w:r>
      <w:r>
        <w:rPr>
          <w:sz w:val="15"/>
        </w:rPr>
        <w:t>[43]</w:t>
      </w:r>
      <w:r>
        <w:t>)</w:t>
      </w:r>
    </w:p>
    <w:p w:rsidR="0040783B" w:rsidRDefault="0040783B" w:rsidP="00E36270">
      <w:pPr>
        <w:pStyle w:val="2"/>
        <w:ind w:left="-5"/>
      </w:pPr>
      <w:r>
        <w:t>IV. Генотип 4</w:t>
      </w:r>
    </w:p>
    <w:p w:rsidR="0040783B" w:rsidRDefault="0040783B" w:rsidP="00E36270">
      <w:pPr>
        <w:pBdr>
          <w:top w:val="single" w:sz="18" w:space="0" w:color="1B6F1B"/>
          <w:left w:val="single" w:sz="18" w:space="0" w:color="1B6F1B"/>
          <w:right w:val="single" w:sz="18" w:space="0" w:color="1B6F1B"/>
        </w:pBdr>
        <w:shd w:val="clear" w:color="auto" w:fill="FFFAF6"/>
        <w:spacing w:after="143" w:line="261" w:lineRule="auto"/>
        <w:ind w:left="260" w:right="237"/>
      </w:pPr>
      <w:r>
        <w:rPr>
          <w:rFonts w:ascii="Calibri" w:eastAsia="Calibri" w:hAnsi="Calibri" w:cs="Calibri"/>
          <w:b/>
          <w:i/>
          <w:color w:val="145314"/>
          <w:sz w:val="24"/>
        </w:rPr>
        <w:t>Три варианта с подобной эффективностью в целом рекомендуются для treatmentnaive пациентов с генотипом HCV 4 инфекции (перечисленный в алфавитном заказе; см. текст).</w:t>
      </w:r>
    </w:p>
    <w:p w:rsidR="0040783B" w:rsidRDefault="0040783B" w:rsidP="00E36270">
      <w:pPr>
        <w:pBdr>
          <w:top w:val="single" w:sz="18" w:space="0" w:color="1B6F1B"/>
          <w:left w:val="single" w:sz="18" w:space="0" w:color="1B6F1B"/>
          <w:right w:val="single" w:sz="18" w:space="0" w:color="1B6F1B"/>
        </w:pBdr>
        <w:shd w:val="clear" w:color="auto" w:fill="FFFAF6"/>
        <w:spacing w:after="202" w:line="261" w:lineRule="auto"/>
        <w:ind w:left="260" w:right="237"/>
      </w:pPr>
      <w:r>
        <w:rPr>
          <w:rFonts w:ascii="Calibri" w:eastAsia="Calibri" w:hAnsi="Calibri" w:cs="Calibri"/>
          <w:b/>
          <w:color w:val="3077B8"/>
          <w:sz w:val="26"/>
        </w:rPr>
        <w:t>Ежедневная комбинация фиксированной дозы ledipasvir (90 мг)/sofosbuvir (400 мг) в течение 12 недель рекомендуется для наивных лечением пациентов с генотипом HCV 4 инфекции.</w:t>
      </w:r>
    </w:p>
    <w:p w:rsidR="0040783B" w:rsidRDefault="0040783B" w:rsidP="00E36270">
      <w:pPr>
        <w:pBdr>
          <w:top w:val="single" w:sz="18" w:space="0" w:color="1B6F1B"/>
          <w:left w:val="single" w:sz="18" w:space="0" w:color="1B6F1B"/>
          <w:right w:val="single" w:sz="18" w:space="0" w:color="1B6F1B"/>
        </w:pBdr>
        <w:shd w:val="clear" w:color="auto" w:fill="FFFAF6"/>
        <w:spacing w:after="294"/>
        <w:ind w:left="260" w:right="237"/>
      </w:pPr>
      <w:r>
        <w:rPr>
          <w:rFonts w:ascii="Calibri" w:eastAsia="Calibri" w:hAnsi="Calibri" w:cs="Calibri"/>
          <w:b/>
        </w:rPr>
        <w:t xml:space="preserve">Рейтинг: </w:t>
      </w:r>
      <w:r>
        <w:t>класс IIb, уровень B</w:t>
      </w:r>
    </w:p>
    <w:p w:rsidR="0040783B" w:rsidRDefault="0040783B" w:rsidP="00E36270">
      <w:pPr>
        <w:pBdr>
          <w:top w:val="single" w:sz="18" w:space="0" w:color="1B6F1B"/>
          <w:left w:val="single" w:sz="18" w:space="0" w:color="1B6F1B"/>
          <w:right w:val="single" w:sz="18" w:space="0" w:color="1B6F1B"/>
        </w:pBdr>
        <w:shd w:val="clear" w:color="auto" w:fill="FFFAF6"/>
        <w:spacing w:after="202" w:line="261" w:lineRule="auto"/>
        <w:ind w:left="260" w:right="237"/>
      </w:pPr>
      <w:r>
        <w:rPr>
          <w:rFonts w:ascii="Calibri" w:eastAsia="Calibri" w:hAnsi="Calibri" w:cs="Calibri"/>
          <w:b/>
          <w:color w:val="3077B8"/>
          <w:sz w:val="26"/>
        </w:rPr>
        <w:t>Ежедневная комбинация фиксированной дозы paritaprevir (150 мг)/ritonavir (100 мг)/ombitasvir (25 мг) и основанного на весе RBV в течение 12 недель рекомендуется для наивных лечением пациентов с генотипом HCV 4 инфекции.</w:t>
      </w:r>
    </w:p>
    <w:p w:rsidR="0040783B" w:rsidRDefault="0040783B" w:rsidP="00E36270">
      <w:pPr>
        <w:pBdr>
          <w:top w:val="single" w:sz="18" w:space="0" w:color="1B6F1B"/>
          <w:left w:val="single" w:sz="18" w:space="0" w:color="1B6F1B"/>
          <w:right w:val="single" w:sz="18" w:space="0" w:color="1B6F1B"/>
        </w:pBdr>
        <w:shd w:val="clear" w:color="auto" w:fill="FFFAF6"/>
        <w:spacing w:after="294"/>
        <w:ind w:left="260" w:right="237"/>
      </w:pPr>
      <w:r>
        <w:rPr>
          <w:rFonts w:ascii="Calibri" w:eastAsia="Calibri" w:hAnsi="Calibri" w:cs="Calibri"/>
          <w:b/>
        </w:rPr>
        <w:t xml:space="preserve">Рейтинг: </w:t>
      </w:r>
      <w:r>
        <w:t>класс I, уровень B</w:t>
      </w:r>
    </w:p>
    <w:p w:rsidR="0040783B" w:rsidRDefault="0040783B" w:rsidP="00E36270">
      <w:pPr>
        <w:pBdr>
          <w:top w:val="single" w:sz="18" w:space="0" w:color="1B6F1B"/>
          <w:left w:val="single" w:sz="18" w:space="0" w:color="1B6F1B"/>
          <w:right w:val="single" w:sz="18" w:space="0" w:color="1B6F1B"/>
        </w:pBdr>
        <w:shd w:val="clear" w:color="auto" w:fill="FFFAF6"/>
        <w:spacing w:after="90" w:line="261" w:lineRule="auto"/>
        <w:ind w:left="260" w:right="237"/>
      </w:pPr>
      <w:r>
        <w:rPr>
          <w:rFonts w:ascii="Calibri" w:eastAsia="Calibri" w:hAnsi="Calibri" w:cs="Calibri"/>
          <w:b/>
          <w:color w:val="3077B8"/>
          <w:sz w:val="26"/>
        </w:rPr>
        <w:t>Ежедневный sofosbuvir (400 мг) и основанный на весе RBV в течение 24 недель рекомендуются для наивных лечением пациентов с генотипом HCV 4 инфекции.</w:t>
      </w:r>
    </w:p>
    <w:p w:rsidR="0040783B" w:rsidRDefault="0040783B" w:rsidP="00E36270">
      <w:pPr>
        <w:pBdr>
          <w:left w:val="single" w:sz="18" w:space="0" w:color="1B6F1B"/>
          <w:bottom w:val="single" w:sz="18" w:space="0" w:color="1B6F1B"/>
          <w:right w:val="single" w:sz="18" w:space="0" w:color="1B6F1B"/>
        </w:pBdr>
        <w:shd w:val="clear" w:color="auto" w:fill="FFFAF6"/>
        <w:spacing w:after="702" w:line="265" w:lineRule="auto"/>
        <w:ind w:left="260" w:right="154"/>
      </w:pPr>
      <w:r>
        <w:rPr>
          <w:rFonts w:ascii="Calibri" w:eastAsia="Calibri" w:hAnsi="Calibri" w:cs="Calibri"/>
          <w:b/>
        </w:rPr>
        <w:t>Рейтинг:</w:t>
      </w:r>
      <w:r>
        <w:t xml:space="preserve"> класс IIa, уровень B</w:t>
      </w:r>
    </w:p>
    <w:p w:rsidR="0040783B" w:rsidRDefault="0040783B" w:rsidP="00E36270">
      <w:pPr>
        <w:ind w:left="-5" w:right="15"/>
      </w:pPr>
      <w:r>
        <w:t>Испытание СИНЕРГИИ было исследованием открытой этикетки, оценивая 12 недель ledipasvir/sofosbuvir в 21 генотипе HCV 4 зараженные пациенты, из которых 60% были наивным лечением, и 43% продвинули фиброз (стадия F3 или F4 Metavir). (</w:t>
      </w:r>
      <w:hyperlink r:id="rId86" w:anchor="kohli2015">
        <w:r>
          <w:rPr>
            <w:color w:val="0000FF"/>
            <w:u w:val="single" w:color="0000FF"/>
          </w:rPr>
          <w:t>Kohli, 2015 [44]</w:t>
        </w:r>
      </w:hyperlink>
      <w:r>
        <w:t>) Один пациент принял первую дозу и затем забрал согласие. Все 20 пациентов, закончивших лечение, достигли SVR12; таким образом уровень SVR12 составлял 95% в анализе намерения к удовольствию и 100% в анализе за протокол. Abergel и коллеги сообщили о данных от исследования единственной руки открытой этикетки включая 22 генотипа HCV 4 зараженные, наивные лечением пациенты (только 1 с циррозом) с уровнем SVR12 95% (21/22). (</w:t>
      </w:r>
      <w:hyperlink r:id="rId87" w:anchor="abergel2015">
        <w:r>
          <w:rPr>
            <w:color w:val="0000FF"/>
            <w:u w:val="single" w:color="0000FF"/>
          </w:rPr>
          <w:t>Abergel, 2015 [45]</w:t>
        </w:r>
      </w:hyperlink>
      <w:r>
        <w:t>), Эти 2 предварительных исследования поддерживают использование этого режима у больных с генотипом HCV 4 инфекции.</w:t>
      </w:r>
    </w:p>
    <w:p w:rsidR="0040783B" w:rsidRDefault="0040783B" w:rsidP="00E36270">
      <w:pPr>
        <w:ind w:left="-5" w:right="15"/>
      </w:pPr>
      <w:r>
        <w:t>PEARL-I был фазой открытой этикетки исследование IIb, включавшее контингент 86 наивных лечением пациентов с генотипом HCV 4 инфекции без цирроза, кто получил 12 недель ежедневной комбинации фиксированной дозы paritaprevir/ritonavir/ombitasvir (ПРО) с или без основанного на весе RBV. Ставки SVR12 составляли 100% (42/42) в группе, получающей RBV и 90,9% (40/44) в группе, не получающей RBV. Неблагоприятные эффекты были обычно умеренными, с головной болью, астенией, усталостью, и тошнота обычно сообщила. Не было никаких прекращений вследствие нежелательных явлений. (</w:t>
      </w:r>
      <w:hyperlink r:id="rId88" w:anchor="hezode2015">
        <w:r>
          <w:rPr>
            <w:color w:val="0000FF"/>
            <w:u w:val="single" w:color="0000FF"/>
          </w:rPr>
          <w:t>Hezode, 2015 [39]</w:t>
        </w:r>
      </w:hyperlink>
      <w:r>
        <w:t>)</w:t>
      </w:r>
    </w:p>
    <w:p w:rsidR="0040783B" w:rsidRDefault="0040783B" w:rsidP="00E36270">
      <w:pPr>
        <w:spacing w:after="727"/>
        <w:ind w:left="-5" w:right="15"/>
      </w:pPr>
      <w:r>
        <w:t>Несколько исследований поддерживают использование sofosbuvir и RBV в наивных лечением пациентах с генотипом HCV 4 инфекции. В маленьком исследовании египетских пациентов в США, с которыми отнеслись sofosbuvir плюс основанный на весе RBV, SVR12 был достигнут в 79% (11/14) и 100% (14/14) этих наивных лечением пациентов, которых лечат в течение 12 недель и 24 недель, соответственно. (</w:t>
      </w:r>
      <w:hyperlink r:id="rId89" w:anchor="ruane2014">
        <w:r>
          <w:rPr>
            <w:color w:val="0000FF"/>
            <w:u w:val="single" w:color="0000FF"/>
          </w:rPr>
          <w:t>Ruane, 2014 [46]</w:t>
        </w:r>
      </w:hyperlink>
      <w:r>
        <w:t>) В фазе II учатся в Египте, пациентах с генотипом HCV 4 инфекции, получаемые ежедневно sofosbuvir плюс основанный на весе RBV в течение 12 недель или 24 недель; среди наивных лечением пациентов ставки SVR12 составляли 84% (21/25) и 92% (22/24), соответственно. (</w:t>
      </w:r>
      <w:hyperlink r:id="rId90" w:anchor="doss2015">
        <w:r>
          <w:rPr>
            <w:color w:val="0000FF"/>
            <w:u w:val="single" w:color="0000FF"/>
          </w:rPr>
          <w:t>Постель, 2015 [47]</w:t>
        </w:r>
      </w:hyperlink>
      <w:r>
        <w:t>) ФОТОН 2, исследование открытой этикетки пациентов HIV/HCV-coinfected, включал 31 treatmentnaive пациента с генотипом HCV 4 инфекции, кто ежедневно получал sofosbuvir плюс основанный на весе RBV в течение 24 недель. В этом исследовании 84% пациентов (26/31) достигли SVR12. (</w:t>
      </w:r>
      <w:hyperlink r:id="rId91" w:anchor="molina2015">
        <w:r>
          <w:rPr>
            <w:color w:val="0000FF"/>
            <w:u w:val="single" w:color="0000FF"/>
          </w:rPr>
          <w:t>Молина, 2015 [48]</w:t>
        </w:r>
      </w:hyperlink>
      <w:r>
        <w:t>)</w:t>
      </w:r>
    </w:p>
    <w:p w:rsidR="0040783B" w:rsidRDefault="0040783B" w:rsidP="00E36270">
      <w:pPr>
        <w:pBdr>
          <w:top w:val="single" w:sz="18" w:space="0" w:color="1B6F1B"/>
          <w:left w:val="single" w:sz="18" w:space="0" w:color="1B6F1B"/>
          <w:bottom w:val="single" w:sz="18" w:space="0" w:color="1B6F1B"/>
          <w:right w:val="single" w:sz="18" w:space="0" w:color="1B6F1B"/>
        </w:pBdr>
        <w:shd w:val="clear" w:color="auto" w:fill="FFFAF6"/>
        <w:spacing w:after="145" w:line="260" w:lineRule="auto"/>
        <w:ind w:left="260" w:right="260"/>
      </w:pPr>
      <w:r>
        <w:rPr>
          <w:rFonts w:ascii="Calibri" w:eastAsia="Calibri" w:hAnsi="Calibri" w:cs="Calibri"/>
          <w:b/>
          <w:i/>
          <w:color w:val="145314"/>
          <w:sz w:val="24"/>
        </w:rPr>
        <w:t>Альтернативный режим для наивных лечением пациентов с генотипом HCV 4 инфекции.</w:t>
      </w:r>
    </w:p>
    <w:p w:rsidR="0040783B" w:rsidRDefault="0040783B" w:rsidP="00E36270">
      <w:pPr>
        <w:pBdr>
          <w:top w:val="single" w:sz="18" w:space="0" w:color="1B6F1B"/>
          <w:left w:val="single" w:sz="18" w:space="0" w:color="1B6F1B"/>
          <w:bottom w:val="single" w:sz="18" w:space="0" w:color="1B6F1B"/>
          <w:right w:val="single" w:sz="18" w:space="0" w:color="1B6F1B"/>
        </w:pBdr>
        <w:shd w:val="clear" w:color="auto" w:fill="FFFAF6"/>
        <w:spacing w:after="82" w:line="266" w:lineRule="auto"/>
        <w:ind w:left="260" w:right="260"/>
      </w:pPr>
      <w:r>
        <w:rPr>
          <w:rFonts w:ascii="Calibri" w:eastAsia="Calibri" w:hAnsi="Calibri" w:cs="Calibri"/>
          <w:b/>
          <w:color w:val="3077B8"/>
          <w:sz w:val="26"/>
        </w:rPr>
        <w:t>Ежедневный sofosbuvir (400 мг) и основанный на весе RBV плюс еженедельный ШТИФТ-IFN в течение 12 недель являются приемлемым режимом для наивных лечением пациентов с генотипом HCV 4 инфекции.</w:t>
      </w:r>
    </w:p>
    <w:p w:rsidR="0040783B" w:rsidRDefault="0040783B" w:rsidP="00E36270">
      <w:pPr>
        <w:pBdr>
          <w:top w:val="single" w:sz="18" w:space="0" w:color="1B6F1B"/>
          <w:left w:val="single" w:sz="18" w:space="0" w:color="1B6F1B"/>
          <w:bottom w:val="single" w:sz="18" w:space="0" w:color="1B6F1B"/>
          <w:right w:val="single" w:sz="18" w:space="0" w:color="1B6F1B"/>
        </w:pBdr>
        <w:shd w:val="clear" w:color="auto" w:fill="FFFAF6"/>
        <w:spacing w:after="703" w:line="265" w:lineRule="auto"/>
        <w:ind w:left="260" w:right="260"/>
      </w:pPr>
      <w:r>
        <w:rPr>
          <w:rFonts w:ascii="Calibri" w:eastAsia="Calibri" w:hAnsi="Calibri" w:cs="Calibri"/>
          <w:b/>
        </w:rPr>
        <w:t>Рейтинг:</w:t>
      </w:r>
      <w:r>
        <w:t xml:space="preserve"> класс II, уровень B</w:t>
      </w:r>
    </w:p>
    <w:p w:rsidR="0040783B" w:rsidRDefault="0040783B" w:rsidP="00E36270">
      <w:pPr>
        <w:ind w:left="-5" w:right="15"/>
      </w:pPr>
      <w:r>
        <w:t>В испытании НЕЙТРИНО фазы III, (</w:t>
      </w:r>
      <w:hyperlink r:id="rId92" w:anchor="lawitz2013a">
        <w:r>
          <w:rPr>
            <w:color w:val="0000FF"/>
            <w:u w:val="single" w:color="0000FF"/>
          </w:rPr>
          <w:t>Lawitz, 2013a</w:t>
        </w:r>
      </w:hyperlink>
      <w:r>
        <w:t xml:space="preserve"> </w:t>
      </w:r>
      <w:r>
        <w:rPr>
          <w:sz w:val="15"/>
        </w:rPr>
        <w:t>[28]</w:t>
      </w:r>
      <w:r>
        <w:t>) 28 наивных лечением пациентов с генотипом HCV 4</w:t>
      </w:r>
    </w:p>
    <w:p w:rsidR="0040783B" w:rsidRDefault="0040783B" w:rsidP="00E36270">
      <w:pPr>
        <w:ind w:left="-5" w:right="15"/>
      </w:pPr>
      <w:r>
        <w:t>с инфекцией отнеслись sofosbuvir (400 мг ежедневно) плюс ШТИФТ-IFN 2a (180 мкг еженедельно) и основанный на весе RBV в течение 12 недель. Из этих 28 пациентов с генотипом HCV 4 инфекции, 27 (96%) достигли SVR12. Единственный пациент, не достигнувший SVR, имел цирроз и имел рецидив после терапии. Профиль нежелательного явления был подобен связанному со ШТИФТОМ-IFN и терапией RBV.</w:t>
      </w:r>
    </w:p>
    <w:p w:rsidR="0040783B" w:rsidRDefault="0040783B" w:rsidP="00E36270">
      <w:pPr>
        <w:pBdr>
          <w:top w:val="single" w:sz="18" w:space="0" w:color="E00000"/>
          <w:left w:val="single" w:sz="18" w:space="0" w:color="E00000"/>
          <w:bottom w:val="single" w:sz="18" w:space="0" w:color="E00000"/>
          <w:right w:val="single" w:sz="18" w:space="0" w:color="E00000"/>
        </w:pBdr>
        <w:shd w:val="clear" w:color="auto" w:fill="F4E5E5"/>
        <w:spacing w:after="88" w:line="261" w:lineRule="auto"/>
        <w:ind w:left="260"/>
      </w:pPr>
      <w:r>
        <w:rPr>
          <w:rFonts w:ascii="Calibri" w:eastAsia="Calibri" w:hAnsi="Calibri" w:cs="Calibri"/>
          <w:b/>
          <w:i/>
          <w:sz w:val="24"/>
        </w:rPr>
        <w:t>Следующие режимы НЕ рекомендуются для наивных лечением пациентов с генотипом HCV 4 инфекции.</w:t>
      </w:r>
    </w:p>
    <w:p w:rsidR="0040783B" w:rsidRDefault="0040783B" w:rsidP="00E36270">
      <w:pPr>
        <w:pBdr>
          <w:top w:val="single" w:sz="18" w:space="0" w:color="E00000"/>
          <w:left w:val="single" w:sz="18" w:space="0" w:color="E00000"/>
          <w:bottom w:val="single" w:sz="18" w:space="0" w:color="E00000"/>
          <w:right w:val="single" w:sz="18" w:space="0" w:color="E00000"/>
        </w:pBdr>
        <w:shd w:val="clear" w:color="auto" w:fill="F4E5E5"/>
        <w:spacing w:after="3" w:line="266" w:lineRule="auto"/>
        <w:ind w:left="411" w:hanging="161"/>
      </w:pPr>
      <w:r>
        <w:rPr>
          <w:rFonts w:ascii="Segoe UI Symbol" w:eastAsia="Segoe UI Symbol" w:hAnsi="Segoe UI Symbol" w:cs="Segoe UI Symbol"/>
          <w:sz w:val="9"/>
        </w:rPr>
        <w:t>■</w:t>
      </w:r>
      <w:r>
        <w:rPr>
          <w:rFonts w:ascii="Segoe UI Symbol" w:eastAsia="Segoe UI Symbol" w:hAnsi="Segoe UI Symbol" w:cs="Segoe UI Symbol"/>
          <w:sz w:val="14"/>
          <w:vertAlign w:val="subscript"/>
        </w:rPr>
        <w:t xml:space="preserve"> </w:t>
      </w:r>
      <w:r>
        <w:rPr>
          <w:rFonts w:ascii="Calibri" w:eastAsia="Calibri" w:hAnsi="Calibri" w:cs="Calibri"/>
          <w:b/>
        </w:rPr>
        <w:t>ШТИФТ-IFN и RBV с или без simeprevir в течение 24 недель к 48 weeksRating:</w:t>
      </w:r>
      <w:r>
        <w:t xml:space="preserve"> Класс IIb,</w:t>
      </w:r>
    </w:p>
    <w:p w:rsidR="0040783B" w:rsidRDefault="0040783B" w:rsidP="00E36270">
      <w:pPr>
        <w:pBdr>
          <w:top w:val="single" w:sz="18" w:space="0" w:color="E00000"/>
          <w:left w:val="single" w:sz="18" w:space="0" w:color="E00000"/>
          <w:bottom w:val="single" w:sz="18" w:space="0" w:color="E00000"/>
          <w:right w:val="single" w:sz="18" w:space="0" w:color="E00000"/>
        </w:pBdr>
        <w:shd w:val="clear" w:color="auto" w:fill="F4E5E5"/>
        <w:spacing w:after="3" w:line="266" w:lineRule="auto"/>
        <w:ind w:left="411" w:hanging="161"/>
      </w:pPr>
      <w:r>
        <w:t>Уровень A</w:t>
      </w:r>
    </w:p>
    <w:p w:rsidR="0040783B" w:rsidRDefault="0040783B" w:rsidP="00E36270">
      <w:pPr>
        <w:pBdr>
          <w:top w:val="single" w:sz="18" w:space="0" w:color="E00000"/>
          <w:left w:val="single" w:sz="18" w:space="0" w:color="E00000"/>
          <w:bottom w:val="single" w:sz="18" w:space="0" w:color="E00000"/>
          <w:right w:val="single" w:sz="18" w:space="0" w:color="E00000"/>
        </w:pBdr>
        <w:shd w:val="clear" w:color="auto" w:fill="F4E5E5"/>
        <w:spacing w:after="3" w:line="266" w:lineRule="auto"/>
        <w:ind w:left="260"/>
      </w:pPr>
      <w:r>
        <w:rPr>
          <w:rFonts w:ascii="Segoe UI Symbol" w:eastAsia="Segoe UI Symbol" w:hAnsi="Segoe UI Symbol" w:cs="Segoe UI Symbol"/>
          <w:sz w:val="9"/>
        </w:rPr>
        <w:t>■</w:t>
      </w:r>
      <w:r>
        <w:rPr>
          <w:rFonts w:ascii="Segoe UI Symbol" w:eastAsia="Segoe UI Symbol" w:hAnsi="Segoe UI Symbol" w:cs="Segoe UI Symbol"/>
          <w:sz w:val="14"/>
          <w:vertAlign w:val="subscript"/>
        </w:rPr>
        <w:t xml:space="preserve"> </w:t>
      </w:r>
      <w:r>
        <w:rPr>
          <w:rFonts w:ascii="Calibri" w:eastAsia="Calibri" w:hAnsi="Calibri" w:cs="Calibri"/>
          <w:b/>
        </w:rPr>
        <w:t>Монотерапия со ШТИФТОМ-IFN, RBV или прямым действием antiviralRating:</w:t>
      </w:r>
      <w:r>
        <w:t xml:space="preserve"> Класс III, Уровень A</w:t>
      </w:r>
    </w:p>
    <w:p w:rsidR="0040783B" w:rsidRDefault="0040783B" w:rsidP="00E36270">
      <w:pPr>
        <w:pBdr>
          <w:top w:val="single" w:sz="18" w:space="0" w:color="E00000"/>
          <w:left w:val="single" w:sz="18" w:space="0" w:color="E00000"/>
          <w:bottom w:val="single" w:sz="18" w:space="0" w:color="E00000"/>
          <w:right w:val="single" w:sz="18" w:space="0" w:color="E00000"/>
        </w:pBdr>
        <w:shd w:val="clear" w:color="auto" w:fill="F4E5E5"/>
        <w:spacing w:after="715" w:line="266" w:lineRule="auto"/>
        <w:ind w:left="260"/>
      </w:pPr>
      <w:r>
        <w:rPr>
          <w:rFonts w:ascii="Segoe UI Symbol" w:eastAsia="Segoe UI Symbol" w:hAnsi="Segoe UI Symbol" w:cs="Segoe UI Symbol"/>
          <w:sz w:val="9"/>
        </w:rPr>
        <w:t>■</w:t>
      </w:r>
      <w:r>
        <w:rPr>
          <w:rFonts w:ascii="Segoe UI Symbol" w:eastAsia="Segoe UI Symbol" w:hAnsi="Segoe UI Symbol" w:cs="Segoe UI Symbol"/>
          <w:sz w:val="14"/>
          <w:vertAlign w:val="subscript"/>
        </w:rPr>
        <w:t xml:space="preserve"> </w:t>
      </w:r>
      <w:r>
        <w:rPr>
          <w:rFonts w:ascii="Calibri" w:eastAsia="Calibri" w:hAnsi="Calibri" w:cs="Calibri"/>
          <w:b/>
        </w:rPr>
        <w:t>Telaprevir-или находящийся в boceprevir regimensRating:</w:t>
      </w:r>
      <w:r>
        <w:t xml:space="preserve"> Класс III, Уровень A</w:t>
      </w:r>
    </w:p>
    <w:p w:rsidR="0040783B" w:rsidRDefault="0040783B" w:rsidP="00E36270">
      <w:pPr>
        <w:spacing w:after="3"/>
      </w:pPr>
      <w:r>
        <w:t xml:space="preserve"> </w:t>
      </w:r>
    </w:p>
    <w:p w:rsidR="0040783B" w:rsidRDefault="0040783B" w:rsidP="00E36270">
      <w:pPr>
        <w:spacing w:after="2"/>
        <w:ind w:left="-5" w:right="15"/>
      </w:pPr>
      <w:r>
        <w:t>ШТИФТ-IFN и RBV в течение 48 недель были ранее рекомендуемым режимом для пациентов с генотипом HCV</w:t>
      </w:r>
    </w:p>
    <w:p w:rsidR="0040783B" w:rsidRDefault="0040783B" w:rsidP="00E36270">
      <w:pPr>
        <w:ind w:left="-5" w:right="15"/>
      </w:pPr>
      <w:r>
        <w:t>4 инфекции. (</w:t>
      </w:r>
      <w:hyperlink r:id="rId93" w:anchor="ghany2009">
        <w:r>
          <w:rPr>
            <w:color w:val="0000FF"/>
            <w:u w:val="single" w:color="0000FF"/>
          </w:rPr>
          <w:t>Ghany, 2009 [49]</w:t>
        </w:r>
      </w:hyperlink>
      <w:r>
        <w:t>); (</w:t>
      </w:r>
      <w:hyperlink r:id="rId94" w:anchor="aasld-idsa-iasusa">
        <w:r>
          <w:rPr>
            <w:color w:val="0000FF"/>
            <w:u w:val="single" w:color="0000FF"/>
          </w:rPr>
          <w:t>AASLD/IDSA/IAS-USA, 2014 [50]</w:t>
        </w:r>
      </w:hyperlink>
      <w:r>
        <w:t>), Добавляющий sofosbuvir (400 мг ежедневно) к PEGIFN и долям ответивших увеличений RBV и заметно сокращает терапию без очевидных дополнительных неблагоприятных эффектов. Добавление simeprevir, чтобы ПРИВЯЗАТЬ-IFN и RBV увеличивает доли ответивших, но имеет низшие ставки SVR к другим доступным режимам и требует более длительной продолжительности ШТИФТА-IFN и RBV, увеличивающего риск нежелательных явлений и таким образом больше не рекомендующегося. (</w:t>
      </w:r>
      <w:hyperlink r:id="rId95" w:anchor="moreno2013b">
        <w:r>
          <w:rPr>
            <w:color w:val="0000FF"/>
            <w:u w:val="single" w:color="0000FF"/>
          </w:rPr>
          <w:t>Морено, 2013b</w:t>
        </w:r>
      </w:hyperlink>
      <w:r>
        <w:t xml:space="preserve"> </w:t>
      </w:r>
      <w:r>
        <w:rPr>
          <w:sz w:val="15"/>
        </w:rPr>
        <w:t>[51]</w:t>
      </w:r>
      <w:r>
        <w:t>)</w:t>
      </w:r>
    </w:p>
    <w:p w:rsidR="0040783B" w:rsidRDefault="0040783B" w:rsidP="00E36270">
      <w:pPr>
        <w:spacing w:after="386"/>
        <w:ind w:left="-5" w:right="15"/>
      </w:pPr>
      <w:r>
        <w:t>Из-за их ограниченной активности против генотипа 4 HCV в пробирке и в естественных условиях, boceprevir и telaprevir не должны использоваться в качестве терапии для пациентов с генотипом HCV 4 инфекции.</w:t>
      </w:r>
    </w:p>
    <w:p w:rsidR="0040783B" w:rsidRDefault="0040783B" w:rsidP="00E36270">
      <w:pPr>
        <w:pStyle w:val="2"/>
        <w:spacing w:after="249"/>
        <w:ind w:left="-5"/>
      </w:pPr>
      <w:r>
        <w:t>V. Генотип 5 или 6</w:t>
      </w:r>
    </w:p>
    <w:p w:rsidR="0040783B" w:rsidRDefault="0040783B" w:rsidP="00E36270">
      <w:pPr>
        <w:spacing w:after="2"/>
        <w:ind w:left="-5" w:right="15"/>
      </w:pPr>
      <w:r>
        <w:t>Немного данных доступны, чтобы помочь вести принятие решения для пациентов, зараженных генотипом HCV 5 или 6.</w:t>
      </w:r>
    </w:p>
    <w:p w:rsidR="0040783B" w:rsidRDefault="0040783B" w:rsidP="00E36270">
      <w:pPr>
        <w:spacing w:after="40"/>
        <w:ind w:left="-5" w:right="15"/>
      </w:pPr>
      <w:r>
        <w:t>Тем не менее, ledispavir/sofosbuvir рекомендуется. (</w:t>
      </w:r>
      <w:hyperlink r:id="rId96" w:anchor="kapoor2014">
        <w:r>
          <w:rPr>
            <w:color w:val="0000FF"/>
            <w:u w:val="single" w:color="0000FF"/>
          </w:rPr>
          <w:t>Капур, 2014 [52]</w:t>
        </w:r>
      </w:hyperlink>
      <w:r>
        <w:t>); (</w:t>
      </w:r>
      <w:hyperlink r:id="rId97" w:anchor="abergel2015">
        <w:r>
          <w:rPr>
            <w:color w:val="0000FF"/>
            <w:u w:val="single" w:color="0000FF"/>
          </w:rPr>
          <w:t>Abergel, 2015 [45]</w:t>
        </w:r>
      </w:hyperlink>
      <w:r>
        <w:t>) (</w:t>
      </w:r>
      <w:hyperlink r:id="rId98" w:anchor="gane2014">
        <w:r>
          <w:rPr>
            <w:color w:val="0000FF"/>
            <w:u w:val="single" w:color="0000FF"/>
          </w:rPr>
          <w:t>Gane, 2014</w:t>
        </w:r>
      </w:hyperlink>
    </w:p>
    <w:p w:rsidR="0040783B" w:rsidRDefault="0040783B" w:rsidP="00E36270">
      <w:pPr>
        <w:spacing w:after="742"/>
      </w:pPr>
      <w:r>
        <w:rPr>
          <w:sz w:val="15"/>
        </w:rPr>
        <w:t>[53]</w:t>
      </w:r>
      <w:r>
        <w:t>)</w:t>
      </w:r>
    </w:p>
    <w:p w:rsidR="0040783B" w:rsidRDefault="0040783B" w:rsidP="00E36270">
      <w:pPr>
        <w:pBdr>
          <w:top w:val="single" w:sz="18" w:space="0" w:color="1B6F1B"/>
          <w:left w:val="single" w:sz="18" w:space="0" w:color="1B6F1B"/>
          <w:bottom w:val="single" w:sz="18" w:space="0" w:color="1B6F1B"/>
          <w:right w:val="single" w:sz="18" w:space="0" w:color="1B6F1B"/>
        </w:pBdr>
        <w:shd w:val="clear" w:color="auto" w:fill="FFFAF6"/>
        <w:spacing w:after="145" w:line="260" w:lineRule="auto"/>
        <w:ind w:left="260" w:right="260"/>
      </w:pPr>
      <w:r>
        <w:rPr>
          <w:rFonts w:ascii="Calibri" w:eastAsia="Calibri" w:hAnsi="Calibri" w:cs="Calibri"/>
          <w:b/>
          <w:i/>
          <w:color w:val="145314"/>
          <w:sz w:val="24"/>
        </w:rPr>
        <w:t>Рекомендуемый режим для наивных лечением пациентов с генотипом HCV 5 или 6</w:t>
      </w:r>
    </w:p>
    <w:p w:rsidR="0040783B" w:rsidRDefault="0040783B" w:rsidP="00E36270">
      <w:pPr>
        <w:pBdr>
          <w:top w:val="single" w:sz="18" w:space="0" w:color="1B6F1B"/>
          <w:left w:val="single" w:sz="18" w:space="0" w:color="1B6F1B"/>
          <w:bottom w:val="single" w:sz="18" w:space="0" w:color="1B6F1B"/>
          <w:right w:val="single" w:sz="18" w:space="0" w:color="1B6F1B"/>
        </w:pBdr>
        <w:shd w:val="clear" w:color="auto" w:fill="FFFAF6"/>
        <w:spacing w:after="145" w:line="260" w:lineRule="auto"/>
        <w:ind w:left="260" w:right="260"/>
      </w:pPr>
      <w:r>
        <w:rPr>
          <w:rFonts w:ascii="Calibri" w:eastAsia="Calibri" w:hAnsi="Calibri" w:cs="Calibri"/>
          <w:b/>
          <w:i/>
          <w:color w:val="145314"/>
          <w:sz w:val="24"/>
        </w:rPr>
        <w:t>инфекция.</w:t>
      </w:r>
    </w:p>
    <w:p w:rsidR="0040783B" w:rsidRDefault="0040783B" w:rsidP="00E36270">
      <w:pPr>
        <w:pBdr>
          <w:top w:val="single" w:sz="18" w:space="0" w:color="1B6F1B"/>
          <w:left w:val="single" w:sz="18" w:space="0" w:color="1B6F1B"/>
          <w:bottom w:val="single" w:sz="18" w:space="0" w:color="1B6F1B"/>
          <w:right w:val="single" w:sz="18" w:space="0" w:color="1B6F1B"/>
        </w:pBdr>
        <w:shd w:val="clear" w:color="auto" w:fill="FFFAF6"/>
        <w:spacing w:after="82" w:line="266" w:lineRule="auto"/>
        <w:ind w:left="260" w:right="260"/>
      </w:pPr>
      <w:r>
        <w:rPr>
          <w:rFonts w:ascii="Calibri" w:eastAsia="Calibri" w:hAnsi="Calibri" w:cs="Calibri"/>
          <w:b/>
          <w:color w:val="3077B8"/>
          <w:sz w:val="26"/>
        </w:rPr>
        <w:t>Ежедневная комбинация фиксированной дозы ledipasvir (90 мг)/sofosbuvir (400 мг) в течение 12 недель рекомендуется для наивных лечением пациентов с генотипом HCV 5 или 6 инфекций.</w:t>
      </w:r>
    </w:p>
    <w:p w:rsidR="0040783B" w:rsidRDefault="0040783B" w:rsidP="00E36270">
      <w:pPr>
        <w:pBdr>
          <w:top w:val="single" w:sz="18" w:space="0" w:color="1B6F1B"/>
          <w:left w:val="single" w:sz="18" w:space="0" w:color="1B6F1B"/>
          <w:bottom w:val="single" w:sz="18" w:space="0" w:color="1B6F1B"/>
          <w:right w:val="single" w:sz="18" w:space="0" w:color="1B6F1B"/>
        </w:pBdr>
        <w:shd w:val="clear" w:color="auto" w:fill="FFFAF6"/>
        <w:spacing w:after="703" w:line="265" w:lineRule="auto"/>
        <w:ind w:left="260" w:right="260"/>
      </w:pPr>
      <w:r>
        <w:rPr>
          <w:rFonts w:ascii="Calibri" w:eastAsia="Calibri" w:hAnsi="Calibri" w:cs="Calibri"/>
          <w:b/>
        </w:rPr>
        <w:t>Рейтинг:</w:t>
      </w:r>
      <w:r>
        <w:t xml:space="preserve"> класс IIa, уровень B</w:t>
      </w:r>
    </w:p>
    <w:p w:rsidR="0040783B" w:rsidRDefault="0040783B" w:rsidP="00E36270">
      <w:pPr>
        <w:ind w:left="-5" w:right="15"/>
      </w:pPr>
      <w:r>
        <w:t>Несмотря на то, что существуют ограниченные данные по пациентам с генотипом HCV 5 инфекций, в пробирке, активность для sofobuvir и ledipasvir довольно хороша с EC50 15 нм и 0,081 нм, соответственно. Abergel и коллеги сообщили о данных от открытой этикетки, единственное исследование руки, включавшее 41 генотип HCV 5 зараженные пациенты с полным уровнем SVR12 95% (39/41). (</w:t>
      </w:r>
      <w:hyperlink r:id="rId99" w:anchor="abergel2015">
        <w:r>
          <w:rPr>
            <w:color w:val="0000FF"/>
            <w:u w:val="single" w:color="0000FF"/>
          </w:rPr>
          <w:t>Abergel, 2015 [45]</w:t>
        </w:r>
      </w:hyperlink>
      <w:r>
        <w:t>) уровень SVR12 был также 95% специфично в наивных лечением пациентах (20/21), кого только 3 имели цирроз, но кто все 3 достигли SVR12.</w:t>
      </w:r>
    </w:p>
    <w:p w:rsidR="0040783B" w:rsidRDefault="0040783B" w:rsidP="00E36270">
      <w:pPr>
        <w:pBdr>
          <w:top w:val="single" w:sz="18" w:space="0" w:color="1B6F1B"/>
          <w:left w:val="single" w:sz="18" w:space="0" w:color="1B6F1B"/>
          <w:bottom w:val="single" w:sz="18" w:space="0" w:color="1B6F1B"/>
          <w:right w:val="single" w:sz="18" w:space="0" w:color="1B6F1B"/>
        </w:pBdr>
        <w:shd w:val="clear" w:color="auto" w:fill="FFFAF6"/>
        <w:spacing w:after="145" w:line="260" w:lineRule="auto"/>
        <w:ind w:left="260" w:right="260"/>
      </w:pPr>
      <w:r>
        <w:rPr>
          <w:rFonts w:ascii="Calibri" w:eastAsia="Calibri" w:hAnsi="Calibri" w:cs="Calibri"/>
          <w:b/>
          <w:i/>
          <w:color w:val="145314"/>
          <w:sz w:val="24"/>
        </w:rPr>
        <w:t>Альтернативный режим для наивных лечением пациентов с генотипом HCV 5 или 6 инфекций.</w:t>
      </w:r>
    </w:p>
    <w:p w:rsidR="0040783B" w:rsidRDefault="0040783B" w:rsidP="00E36270">
      <w:pPr>
        <w:pBdr>
          <w:top w:val="single" w:sz="18" w:space="0" w:color="1B6F1B"/>
          <w:left w:val="single" w:sz="18" w:space="0" w:color="1B6F1B"/>
          <w:bottom w:val="single" w:sz="18" w:space="0" w:color="1B6F1B"/>
          <w:right w:val="single" w:sz="18" w:space="0" w:color="1B6F1B"/>
        </w:pBdr>
        <w:shd w:val="clear" w:color="auto" w:fill="FFFAF6"/>
        <w:spacing w:after="82" w:line="266" w:lineRule="auto"/>
        <w:ind w:left="260" w:right="260"/>
      </w:pPr>
      <w:r>
        <w:rPr>
          <w:rFonts w:ascii="Calibri" w:eastAsia="Calibri" w:hAnsi="Calibri" w:cs="Calibri"/>
          <w:b/>
          <w:color w:val="3077B8"/>
          <w:sz w:val="26"/>
        </w:rPr>
        <w:t>Ежедневный sofosbuvir (400 мг) и основанный на весе RBV плюс еженедельный ШТИФТ-IFN в течение 12 недель являются альтернативным режимом для наивных лечением пациентов с генотипом HCV 5 или 6 инфекций.</w:t>
      </w:r>
    </w:p>
    <w:p w:rsidR="0040783B" w:rsidRDefault="0040783B" w:rsidP="00E36270">
      <w:pPr>
        <w:pBdr>
          <w:top w:val="single" w:sz="18" w:space="0" w:color="1B6F1B"/>
          <w:left w:val="single" w:sz="18" w:space="0" w:color="1B6F1B"/>
          <w:bottom w:val="single" w:sz="18" w:space="0" w:color="1B6F1B"/>
          <w:right w:val="single" w:sz="18" w:space="0" w:color="1B6F1B"/>
        </w:pBdr>
        <w:shd w:val="clear" w:color="auto" w:fill="FFFAF6"/>
        <w:spacing w:after="703" w:line="265" w:lineRule="auto"/>
        <w:ind w:left="260" w:right="260"/>
      </w:pPr>
      <w:r>
        <w:rPr>
          <w:rFonts w:ascii="Calibri" w:eastAsia="Calibri" w:hAnsi="Calibri" w:cs="Calibri"/>
          <w:b/>
        </w:rPr>
        <w:t>Рейтинг:</w:t>
      </w:r>
      <w:r>
        <w:t xml:space="preserve"> класс IIa, уровень B</w:t>
      </w:r>
    </w:p>
    <w:p w:rsidR="0040783B" w:rsidRDefault="0040783B" w:rsidP="00E36270">
      <w:pPr>
        <w:spacing w:after="0"/>
        <w:ind w:left="-5" w:right="15"/>
      </w:pPr>
      <w:r>
        <w:t>В испытании НЕЙТРИНО фазы III, (</w:t>
      </w:r>
      <w:hyperlink r:id="rId100" w:anchor="lawitz2013a">
        <w:r>
          <w:rPr>
            <w:color w:val="0000FF"/>
            <w:u w:val="single" w:color="0000FF"/>
          </w:rPr>
          <w:t>Lawitz, 2013a</w:t>
        </w:r>
      </w:hyperlink>
      <w:r>
        <w:t xml:space="preserve"> </w:t>
      </w:r>
      <w:r>
        <w:rPr>
          <w:sz w:val="15"/>
        </w:rPr>
        <w:t>[28]</w:t>
      </w:r>
      <w:r>
        <w:t>) наивные лечением пациенты с генотипами HCV 1</w:t>
      </w:r>
    </w:p>
    <w:p w:rsidR="0040783B" w:rsidRDefault="0040783B" w:rsidP="00E36270">
      <w:pPr>
        <w:ind w:left="-5" w:right="15"/>
      </w:pPr>
      <w:r>
        <w:t>(с n=291), 4 (n=28), 5 (n=1), и 6 (n=6) отнеслись sofosbuvir (400 мг ежедневно) плюс ШТИФТ-IFN 2a (180 мкг еженедельно) и основанный на весе RBV в течение 12 недель. Все 6 пациентов с генотипом HCV 6 и 1 пациент с генотипом HCV 5 достигли SVR12. Профиль нежелательного явления в этих пациентах и в более многочисленном населении исследования был подобен замеченному со ШТИФТОМ-IFN и терапией RBV.</w:t>
      </w:r>
    </w:p>
    <w:p w:rsidR="0040783B" w:rsidRDefault="0040783B" w:rsidP="00E36270">
      <w:pPr>
        <w:ind w:left="-5" w:right="15"/>
      </w:pPr>
      <w:r>
        <w:t>Ledipasvir имеет в пробирке активность против большей части генотипа HCV 6 подтипов (за исключением 6e). (</w:t>
      </w:r>
      <w:hyperlink r:id="rId101" w:anchor="wong2013">
        <w:r>
          <w:rPr>
            <w:color w:val="0000FF"/>
            <w:u w:val="single" w:color="0000FF"/>
          </w:rPr>
          <w:t>Вонг, 2013 [41]</w:t>
        </w:r>
      </w:hyperlink>
      <w:r>
        <w:t>); (</w:t>
      </w:r>
      <w:hyperlink r:id="rId102" w:anchor="kohler2014">
        <w:r>
          <w:rPr>
            <w:color w:val="0000FF"/>
            <w:u w:val="single" w:color="0000FF"/>
          </w:rPr>
          <w:t>Колер, 2014 [42]</w:t>
        </w:r>
      </w:hyperlink>
      <w:r>
        <w:t>), маленькое, исследование открытой этикетки с 2 центрами (NCT01826981) исследовало безопасность и в естественных условиях эффективность ledipasvir/sofosbuvir в течение 12 недель в наивном лечением и - опытные пациенты с генотипом HCV 6 инфекций. У двадцати пяти пациентов (92% были наивным лечением), кто был прежде всего азиатом (88%), была инфекция от 7 различных подтипов (32%, 6a; 24%, 6e; 12%, 6 л; 8%, 6 м; 12%, 6 пунктов; 8%, 6q; 4%, 6r). У двух пациентов (8%) был цирроз. Уровень SVR12 составлял 96% (24/25), и 1 пациент, испытавший рецидив, прекратил терапию в неделю 8 из-за употребления наркотиков. Никакой пациент не прекратил лечение вследствие нежелательных явлений.</w:t>
      </w:r>
    </w:p>
    <w:p w:rsidR="0040783B" w:rsidRDefault="0040783B" w:rsidP="00E36270">
      <w:pPr>
        <w:spacing w:after="0"/>
        <w:ind w:left="-5" w:right="15"/>
      </w:pPr>
      <w:r>
        <w:t>В испытании НЕЙТРИНО фазы III, (</w:t>
      </w:r>
      <w:hyperlink r:id="rId103" w:anchor="lawitz2013a">
        <w:r>
          <w:rPr>
            <w:color w:val="0000FF"/>
            <w:u w:val="single" w:color="0000FF"/>
          </w:rPr>
          <w:t>Lawitz, 2013a</w:t>
        </w:r>
      </w:hyperlink>
      <w:r>
        <w:t xml:space="preserve"> </w:t>
      </w:r>
      <w:r>
        <w:rPr>
          <w:sz w:val="15"/>
        </w:rPr>
        <w:t>[28]</w:t>
      </w:r>
      <w:r>
        <w:t>) наивные лечением пациенты с генотипами HCV 1</w:t>
      </w:r>
    </w:p>
    <w:p w:rsidR="0040783B" w:rsidRDefault="0040783B" w:rsidP="00E36270">
      <w:pPr>
        <w:spacing w:after="726"/>
        <w:ind w:left="-5" w:right="15"/>
      </w:pPr>
      <w:r>
        <w:t>(с n=291), 4 (n=28), 5 (n=1), и 6 (n=6) отнеслись sofosbuvir (400 мг ежедневно) плюс ШТИФТ-IFN 2a (180 мкг еженедельно) и основанный на весе RBV в течение 12 недель. Все 6 пациентов с генотипом HCV 6 и 1 пациент с генотипом HCV 5 достигли SVR12. Профиль нежелательного явления в этих пациентах и в более многочисленном населении исследования был подобен замеченному со ШТИФТОМ-IFN и терапией RBV.</w:t>
      </w:r>
    </w:p>
    <w:p w:rsidR="0040783B" w:rsidRDefault="0040783B" w:rsidP="00E36270">
      <w:pPr>
        <w:pBdr>
          <w:top w:val="single" w:sz="18" w:space="0" w:color="E00000"/>
          <w:left w:val="single" w:sz="18" w:space="0" w:color="E00000"/>
          <w:bottom w:val="single" w:sz="18" w:space="0" w:color="E00000"/>
          <w:right w:val="single" w:sz="18" w:space="0" w:color="E00000"/>
        </w:pBdr>
        <w:shd w:val="clear" w:color="auto" w:fill="F4E5E5"/>
        <w:spacing w:after="88" w:line="261" w:lineRule="auto"/>
        <w:ind w:left="260"/>
      </w:pPr>
      <w:r>
        <w:rPr>
          <w:rFonts w:ascii="Calibri" w:eastAsia="Calibri" w:hAnsi="Calibri" w:cs="Calibri"/>
          <w:b/>
          <w:i/>
          <w:sz w:val="24"/>
        </w:rPr>
        <w:t>Следующие режимы НЕ рекомендуются для наивных лечением пациентов с генотипом HCV 5 или 6 инфекций.</w:t>
      </w:r>
    </w:p>
    <w:p w:rsidR="0040783B" w:rsidRDefault="0040783B" w:rsidP="00E36270">
      <w:pPr>
        <w:pBdr>
          <w:top w:val="single" w:sz="18" w:space="0" w:color="E00000"/>
          <w:left w:val="single" w:sz="18" w:space="0" w:color="E00000"/>
          <w:bottom w:val="single" w:sz="18" w:space="0" w:color="E00000"/>
          <w:right w:val="single" w:sz="18" w:space="0" w:color="E00000"/>
        </w:pBdr>
        <w:shd w:val="clear" w:color="auto" w:fill="F4E5E5"/>
        <w:spacing w:after="3" w:line="266" w:lineRule="auto"/>
        <w:ind w:left="411" w:hanging="161"/>
      </w:pPr>
      <w:r>
        <w:rPr>
          <w:rFonts w:ascii="Segoe UI Symbol" w:eastAsia="Segoe UI Symbol" w:hAnsi="Segoe UI Symbol" w:cs="Segoe UI Symbol"/>
          <w:sz w:val="9"/>
        </w:rPr>
        <w:t>■</w:t>
      </w:r>
      <w:r>
        <w:rPr>
          <w:rFonts w:ascii="Segoe UI Symbol" w:eastAsia="Segoe UI Symbol" w:hAnsi="Segoe UI Symbol" w:cs="Segoe UI Symbol"/>
          <w:sz w:val="14"/>
          <w:vertAlign w:val="subscript"/>
        </w:rPr>
        <w:t xml:space="preserve"> </w:t>
      </w:r>
      <w:r>
        <w:rPr>
          <w:rFonts w:ascii="Calibri" w:eastAsia="Calibri" w:hAnsi="Calibri" w:cs="Calibri"/>
          <w:b/>
        </w:rPr>
        <w:t>ШТИФТ-IFN и RBV с или без simeprevir в течение 24 недель к 48 weeksRating:</w:t>
      </w:r>
      <w:r>
        <w:t xml:space="preserve"> Класс IIb,</w:t>
      </w:r>
    </w:p>
    <w:p w:rsidR="0040783B" w:rsidRDefault="0040783B" w:rsidP="00E36270">
      <w:pPr>
        <w:pBdr>
          <w:top w:val="single" w:sz="18" w:space="0" w:color="E00000"/>
          <w:left w:val="single" w:sz="18" w:space="0" w:color="E00000"/>
          <w:bottom w:val="single" w:sz="18" w:space="0" w:color="E00000"/>
          <w:right w:val="single" w:sz="18" w:space="0" w:color="E00000"/>
        </w:pBdr>
        <w:shd w:val="clear" w:color="auto" w:fill="F4E5E5"/>
        <w:spacing w:after="3" w:line="266" w:lineRule="auto"/>
        <w:ind w:left="411" w:hanging="161"/>
      </w:pPr>
      <w:r>
        <w:t>Уровень A</w:t>
      </w:r>
    </w:p>
    <w:p w:rsidR="0040783B" w:rsidRDefault="0040783B" w:rsidP="00E36270">
      <w:pPr>
        <w:pBdr>
          <w:top w:val="single" w:sz="18" w:space="0" w:color="E00000"/>
          <w:left w:val="single" w:sz="18" w:space="0" w:color="E00000"/>
          <w:bottom w:val="single" w:sz="18" w:space="0" w:color="E00000"/>
          <w:right w:val="single" w:sz="18" w:space="0" w:color="E00000"/>
        </w:pBdr>
        <w:shd w:val="clear" w:color="auto" w:fill="F4E5E5"/>
        <w:spacing w:after="3" w:line="266" w:lineRule="auto"/>
        <w:ind w:left="260"/>
      </w:pPr>
      <w:r>
        <w:rPr>
          <w:rFonts w:ascii="Segoe UI Symbol" w:eastAsia="Segoe UI Symbol" w:hAnsi="Segoe UI Symbol" w:cs="Segoe UI Symbol"/>
          <w:sz w:val="9"/>
        </w:rPr>
        <w:t>■</w:t>
      </w:r>
      <w:r>
        <w:rPr>
          <w:rFonts w:ascii="Segoe UI Symbol" w:eastAsia="Segoe UI Symbol" w:hAnsi="Segoe UI Symbol" w:cs="Segoe UI Symbol"/>
          <w:sz w:val="14"/>
          <w:vertAlign w:val="subscript"/>
        </w:rPr>
        <w:t xml:space="preserve"> </w:t>
      </w:r>
      <w:r>
        <w:rPr>
          <w:rFonts w:ascii="Calibri" w:eastAsia="Calibri" w:hAnsi="Calibri" w:cs="Calibri"/>
          <w:b/>
        </w:rPr>
        <w:t>Монотерапия со ШТИФТОМ-IFN, RBV или прямым действием antiviralRating:</w:t>
      </w:r>
      <w:r>
        <w:t xml:space="preserve"> Класс III, Уровень A</w:t>
      </w:r>
    </w:p>
    <w:p w:rsidR="0040783B" w:rsidRDefault="0040783B" w:rsidP="00E36270">
      <w:pPr>
        <w:pBdr>
          <w:top w:val="single" w:sz="18" w:space="0" w:color="E00000"/>
          <w:left w:val="single" w:sz="18" w:space="0" w:color="E00000"/>
          <w:bottom w:val="single" w:sz="18" w:space="0" w:color="E00000"/>
          <w:right w:val="single" w:sz="18" w:space="0" w:color="E00000"/>
        </w:pBdr>
        <w:shd w:val="clear" w:color="auto" w:fill="F4E5E5"/>
        <w:spacing w:after="715" w:line="266" w:lineRule="auto"/>
        <w:ind w:left="260"/>
      </w:pPr>
      <w:r>
        <w:rPr>
          <w:rFonts w:ascii="Segoe UI Symbol" w:eastAsia="Segoe UI Symbol" w:hAnsi="Segoe UI Symbol" w:cs="Segoe UI Symbol"/>
          <w:sz w:val="9"/>
        </w:rPr>
        <w:t>■</w:t>
      </w:r>
      <w:r>
        <w:rPr>
          <w:rFonts w:ascii="Segoe UI Symbol" w:eastAsia="Segoe UI Symbol" w:hAnsi="Segoe UI Symbol" w:cs="Segoe UI Symbol"/>
          <w:sz w:val="14"/>
          <w:vertAlign w:val="subscript"/>
        </w:rPr>
        <w:t xml:space="preserve"> </w:t>
      </w:r>
      <w:r>
        <w:rPr>
          <w:rFonts w:ascii="Calibri" w:eastAsia="Calibri" w:hAnsi="Calibri" w:cs="Calibri"/>
          <w:b/>
        </w:rPr>
        <w:t>Telaprevir-или находящийся в boceprevir regimensRating:</w:t>
      </w:r>
      <w:r>
        <w:t xml:space="preserve"> Класс III, Уровень A</w:t>
      </w:r>
    </w:p>
    <w:p w:rsidR="0040783B" w:rsidRDefault="0040783B" w:rsidP="00E36270">
      <w:pPr>
        <w:spacing w:after="3"/>
      </w:pPr>
      <w:r>
        <w:t xml:space="preserve"> </w:t>
      </w:r>
    </w:p>
    <w:p w:rsidR="0040783B" w:rsidRDefault="0040783B" w:rsidP="00E36270">
      <w:pPr>
        <w:ind w:left="-5" w:right="15"/>
      </w:pPr>
      <w:r>
        <w:t>ШТИФТ-IFN и RBV в течение 48 недель были предыдущим альтернативным режимом для пациентов, зараженных генотипом HCV 5, но доступность рекомендуемых режимов, существенно уменьшающих выделение к IFN и RBV, делает этот режим бедным выбором. Из-за их ограниченной активности против генотипов 5 и 6 HCV в пробирке и в естественных условиях, boceprevir и telaprevir не должны использоваться в качестве терапии для пациентов с генотипом HCV 5 или 6 инфекций.</w:t>
      </w:r>
    </w:p>
    <w:p w:rsidR="0040783B" w:rsidRDefault="0040783B" w:rsidP="00E36270">
      <w:pPr>
        <w:pStyle w:val="3"/>
      </w:pPr>
      <w:r>
        <w:t>Смешанные генотипы</w:t>
      </w:r>
    </w:p>
    <w:p w:rsidR="0040783B" w:rsidRDefault="0040783B" w:rsidP="00E36270">
      <w:pPr>
        <w:ind w:left="-5" w:right="15"/>
      </w:pPr>
      <w:r>
        <w:t>Редко, пробы генотипирования могут указать наличие смешанной инфекции (например, генотипы 1a и 2). Данные о лечении для смешанных генотипов с действующими прямым образом противовирусными средствами редки, и доступность ожидания pangenotypic режима можно рассмотреть. До тех пор, когда лечение необходимо, выбор антивирусной комбинации и продолжительность лечения должны максимизировать эффективность против каждого генотипа, представленного в пробе. Когда правильная комбинация или продолжительность неясны, опытная консультация должна быть разыскана.</w:t>
      </w:r>
    </w:p>
    <w:p w:rsidR="0040783B" w:rsidRDefault="0040783B" w:rsidP="00E36270">
      <w:pPr>
        <w:spacing w:after="271"/>
      </w:pPr>
      <w:r>
        <w:t xml:space="preserve"> </w:t>
      </w:r>
    </w:p>
    <w:p w:rsidR="0040783B" w:rsidRDefault="0040783B" w:rsidP="00E36270">
      <w:pPr>
        <w:spacing w:after="0" w:line="265" w:lineRule="auto"/>
        <w:ind w:left="-5"/>
      </w:pPr>
      <w:r>
        <w:rPr>
          <w:rFonts w:ascii="Calibri" w:eastAsia="Calibri" w:hAnsi="Calibri" w:cs="Calibri"/>
          <w:b/>
          <w:sz w:val="24"/>
        </w:rPr>
        <w:t>Начальный процедурный стол: лекарственные взаимодействия с действующими прямым образом противовирусными средствами и отобранными сопутствующими лечениями</w:t>
      </w:r>
    </w:p>
    <w:tbl>
      <w:tblPr>
        <w:tblStyle w:val="TableGrid"/>
        <w:tblW w:w="10529" w:type="dxa"/>
        <w:tblInd w:w="5" w:type="dxa"/>
        <w:tblCellMar>
          <w:top w:w="151" w:type="dxa"/>
          <w:right w:w="115" w:type="dxa"/>
        </w:tblCellMar>
        <w:tblLook w:val="04A0" w:firstRow="1" w:lastRow="0" w:firstColumn="1" w:lastColumn="0" w:noHBand="0" w:noVBand="1"/>
      </w:tblPr>
      <w:tblGrid>
        <w:gridCol w:w="3074"/>
        <w:gridCol w:w="156"/>
        <w:gridCol w:w="1339"/>
        <w:gridCol w:w="156"/>
        <w:gridCol w:w="1339"/>
        <w:gridCol w:w="156"/>
        <w:gridCol w:w="1371"/>
        <w:gridCol w:w="156"/>
        <w:gridCol w:w="1339"/>
        <w:gridCol w:w="156"/>
        <w:gridCol w:w="1287"/>
      </w:tblGrid>
      <w:tr w:rsidR="0040783B" w:rsidTr="00AE7FF4">
        <w:trPr>
          <w:trHeight w:val="1492"/>
        </w:trPr>
        <w:tc>
          <w:tcPr>
            <w:tcW w:w="3074" w:type="dxa"/>
            <w:tcBorders>
              <w:top w:val="single" w:sz="23" w:space="0" w:color="000000"/>
              <w:left w:val="nil"/>
              <w:bottom w:val="single" w:sz="6" w:space="0" w:color="000000"/>
              <w:right w:val="nil"/>
            </w:tcBorders>
            <w:shd w:val="clear" w:color="auto" w:fill="CADDF1"/>
          </w:tcPr>
          <w:p w:rsidR="0040783B" w:rsidRDefault="0040783B" w:rsidP="00AE7FF4">
            <w:pPr>
              <w:spacing w:line="259" w:lineRule="auto"/>
              <w:ind w:left="52"/>
            </w:pPr>
            <w:r>
              <w:rPr>
                <w:rFonts w:ascii="Calibri" w:eastAsia="Calibri" w:hAnsi="Calibri" w:cs="Calibri"/>
                <w:b/>
                <w:sz w:val="21"/>
              </w:rPr>
              <w:t>Сопутствующие лечения</w:t>
            </w:r>
          </w:p>
        </w:tc>
        <w:tc>
          <w:tcPr>
            <w:tcW w:w="1495" w:type="dxa"/>
            <w:gridSpan w:val="2"/>
            <w:tcBorders>
              <w:top w:val="single" w:sz="23" w:space="0" w:color="000000"/>
              <w:left w:val="nil"/>
              <w:bottom w:val="single" w:sz="6" w:space="0" w:color="000000"/>
              <w:right w:val="nil"/>
            </w:tcBorders>
            <w:shd w:val="clear" w:color="auto" w:fill="CADDF1"/>
          </w:tcPr>
          <w:p w:rsidR="0040783B" w:rsidRDefault="0040783B" w:rsidP="00AE7FF4">
            <w:pPr>
              <w:spacing w:line="259" w:lineRule="auto"/>
            </w:pPr>
            <w:r>
              <w:rPr>
                <w:rFonts w:ascii="Calibri" w:eastAsia="Calibri" w:hAnsi="Calibri" w:cs="Calibri"/>
                <w:b/>
                <w:sz w:val="21"/>
              </w:rPr>
              <w:t>Daclatasvir</w:t>
            </w:r>
          </w:p>
        </w:tc>
        <w:tc>
          <w:tcPr>
            <w:tcW w:w="1495" w:type="dxa"/>
            <w:gridSpan w:val="2"/>
            <w:tcBorders>
              <w:top w:val="single" w:sz="23" w:space="0" w:color="000000"/>
              <w:left w:val="nil"/>
              <w:bottom w:val="single" w:sz="6" w:space="0" w:color="000000"/>
              <w:right w:val="nil"/>
            </w:tcBorders>
            <w:shd w:val="clear" w:color="auto" w:fill="CADDF1"/>
          </w:tcPr>
          <w:p w:rsidR="0040783B" w:rsidRDefault="0040783B" w:rsidP="00AE7FF4">
            <w:pPr>
              <w:spacing w:line="259" w:lineRule="auto"/>
            </w:pPr>
            <w:r>
              <w:rPr>
                <w:rFonts w:ascii="Calibri" w:eastAsia="Calibri" w:hAnsi="Calibri" w:cs="Calibri"/>
                <w:b/>
                <w:sz w:val="21"/>
              </w:rPr>
              <w:t>Ledipasvir</w:t>
            </w:r>
          </w:p>
        </w:tc>
        <w:tc>
          <w:tcPr>
            <w:tcW w:w="1527" w:type="dxa"/>
            <w:gridSpan w:val="2"/>
            <w:tcBorders>
              <w:top w:val="single" w:sz="23" w:space="0" w:color="000000"/>
              <w:left w:val="nil"/>
              <w:bottom w:val="single" w:sz="6" w:space="0" w:color="000000"/>
              <w:right w:val="nil"/>
            </w:tcBorders>
            <w:shd w:val="clear" w:color="auto" w:fill="CADDF1"/>
            <w:vAlign w:val="center"/>
          </w:tcPr>
          <w:p w:rsidR="0040783B" w:rsidRDefault="0040783B" w:rsidP="00AE7FF4">
            <w:pPr>
              <w:spacing w:line="259" w:lineRule="auto"/>
            </w:pPr>
            <w:r>
              <w:rPr>
                <w:rFonts w:ascii="Calibri" w:eastAsia="Calibri" w:hAnsi="Calibri" w:cs="Calibri"/>
                <w:b/>
                <w:sz w:val="21"/>
              </w:rPr>
              <w:t>Paritaprevir</w:t>
            </w:r>
          </w:p>
          <w:p w:rsidR="0040783B" w:rsidRDefault="0040783B" w:rsidP="00AE7FF4">
            <w:pPr>
              <w:spacing w:line="259" w:lineRule="auto"/>
            </w:pPr>
            <w:r>
              <w:rPr>
                <w:rFonts w:ascii="Calibri" w:eastAsia="Calibri" w:hAnsi="Calibri" w:cs="Calibri"/>
                <w:b/>
                <w:sz w:val="21"/>
              </w:rPr>
              <w:t>/ Ritonavir /</w:t>
            </w:r>
          </w:p>
          <w:p w:rsidR="0040783B" w:rsidRDefault="0040783B" w:rsidP="00AE7FF4">
            <w:pPr>
              <w:spacing w:line="259" w:lineRule="auto"/>
            </w:pPr>
            <w:r>
              <w:rPr>
                <w:rFonts w:ascii="Calibri" w:eastAsia="Calibri" w:hAnsi="Calibri" w:cs="Calibri"/>
                <w:b/>
                <w:sz w:val="21"/>
              </w:rPr>
              <w:t>Ombitasvir</w:t>
            </w:r>
          </w:p>
          <w:p w:rsidR="0040783B" w:rsidRDefault="0040783B" w:rsidP="00AE7FF4">
            <w:pPr>
              <w:spacing w:line="259" w:lineRule="auto"/>
            </w:pPr>
            <w:r>
              <w:rPr>
                <w:rFonts w:ascii="Calibri" w:eastAsia="Calibri" w:hAnsi="Calibri" w:cs="Calibri"/>
                <w:b/>
                <w:sz w:val="21"/>
              </w:rPr>
              <w:t>+</w:t>
            </w:r>
          </w:p>
          <w:p w:rsidR="0040783B" w:rsidRDefault="0040783B" w:rsidP="00AE7FF4">
            <w:pPr>
              <w:spacing w:line="259" w:lineRule="auto"/>
            </w:pPr>
            <w:r>
              <w:rPr>
                <w:rFonts w:ascii="Calibri" w:eastAsia="Calibri" w:hAnsi="Calibri" w:cs="Calibri"/>
                <w:b/>
                <w:sz w:val="21"/>
              </w:rPr>
              <w:t>Dasabuvir</w:t>
            </w:r>
          </w:p>
        </w:tc>
        <w:tc>
          <w:tcPr>
            <w:tcW w:w="1495" w:type="dxa"/>
            <w:gridSpan w:val="2"/>
            <w:tcBorders>
              <w:top w:val="single" w:sz="23" w:space="0" w:color="000000"/>
              <w:left w:val="nil"/>
              <w:bottom w:val="single" w:sz="6" w:space="0" w:color="000000"/>
              <w:right w:val="nil"/>
            </w:tcBorders>
            <w:shd w:val="clear" w:color="auto" w:fill="CADDF1"/>
          </w:tcPr>
          <w:p w:rsidR="0040783B" w:rsidRDefault="0040783B" w:rsidP="00AE7FF4">
            <w:pPr>
              <w:spacing w:line="259" w:lineRule="auto"/>
            </w:pPr>
            <w:r>
              <w:rPr>
                <w:rFonts w:ascii="Calibri" w:eastAsia="Calibri" w:hAnsi="Calibri" w:cs="Calibri"/>
                <w:b/>
                <w:sz w:val="21"/>
              </w:rPr>
              <w:t>Simeprevir</w:t>
            </w:r>
          </w:p>
        </w:tc>
        <w:tc>
          <w:tcPr>
            <w:tcW w:w="1443" w:type="dxa"/>
            <w:gridSpan w:val="2"/>
            <w:tcBorders>
              <w:top w:val="single" w:sz="23" w:space="0" w:color="000000"/>
              <w:left w:val="nil"/>
              <w:bottom w:val="single" w:sz="6" w:space="0" w:color="000000"/>
              <w:right w:val="nil"/>
            </w:tcBorders>
            <w:shd w:val="clear" w:color="auto" w:fill="CADDF1"/>
          </w:tcPr>
          <w:p w:rsidR="0040783B" w:rsidRDefault="0040783B" w:rsidP="00AE7FF4">
            <w:pPr>
              <w:spacing w:line="259" w:lineRule="auto"/>
            </w:pPr>
            <w:r>
              <w:rPr>
                <w:rFonts w:ascii="Calibri" w:eastAsia="Calibri" w:hAnsi="Calibri" w:cs="Calibri"/>
                <w:b/>
                <w:sz w:val="21"/>
              </w:rPr>
              <w:t>Sofosbuvir</w:t>
            </w:r>
          </w:p>
        </w:tc>
      </w:tr>
      <w:tr w:rsidR="0040783B" w:rsidTr="00AE7FF4">
        <w:trPr>
          <w:trHeight w:val="472"/>
        </w:trPr>
        <w:tc>
          <w:tcPr>
            <w:tcW w:w="3074" w:type="dxa"/>
            <w:tcBorders>
              <w:top w:val="single" w:sz="6" w:space="0" w:color="000000"/>
              <w:left w:val="nil"/>
              <w:bottom w:val="single" w:sz="6" w:space="0" w:color="000000"/>
              <w:right w:val="nil"/>
            </w:tcBorders>
            <w:shd w:val="clear" w:color="auto" w:fill="F2F7FB"/>
            <w:vAlign w:val="center"/>
          </w:tcPr>
          <w:p w:rsidR="0040783B" w:rsidRDefault="0040783B" w:rsidP="00AE7FF4">
            <w:pPr>
              <w:spacing w:line="259" w:lineRule="auto"/>
              <w:ind w:left="208"/>
            </w:pPr>
            <w:r>
              <w:rPr>
                <w:rFonts w:ascii="Calibri" w:eastAsia="Calibri" w:hAnsi="Calibri" w:cs="Calibri"/>
                <w:b/>
                <w:sz w:val="21"/>
              </w:rPr>
              <w:t>Кислотные восстановители*</w:t>
            </w:r>
          </w:p>
        </w:tc>
        <w:tc>
          <w:tcPr>
            <w:tcW w:w="1495" w:type="dxa"/>
            <w:gridSpan w:val="2"/>
            <w:tcBorders>
              <w:top w:val="single" w:sz="6" w:space="0" w:color="000000"/>
              <w:left w:val="nil"/>
              <w:bottom w:val="single" w:sz="6" w:space="0" w:color="000000"/>
              <w:right w:val="nil"/>
            </w:tcBorders>
            <w:shd w:val="clear" w:color="auto" w:fill="F2F7FB"/>
            <w:vAlign w:val="center"/>
          </w:tcPr>
          <w:p w:rsidR="0040783B" w:rsidRDefault="0040783B" w:rsidP="00AE7FF4">
            <w:pPr>
              <w:spacing w:line="259" w:lineRule="auto"/>
              <w:ind w:left="156"/>
            </w:pPr>
            <w:r>
              <w:rPr>
                <w:sz w:val="21"/>
              </w:rPr>
              <w:t xml:space="preserve"> </w:t>
            </w:r>
          </w:p>
        </w:tc>
        <w:tc>
          <w:tcPr>
            <w:tcW w:w="1495" w:type="dxa"/>
            <w:gridSpan w:val="2"/>
            <w:tcBorders>
              <w:top w:val="single" w:sz="6" w:space="0" w:color="000000"/>
              <w:left w:val="nil"/>
              <w:bottom w:val="single" w:sz="6" w:space="0" w:color="000000"/>
              <w:right w:val="nil"/>
            </w:tcBorders>
            <w:shd w:val="clear" w:color="auto" w:fill="F2F7FB"/>
            <w:vAlign w:val="center"/>
          </w:tcPr>
          <w:p w:rsidR="0040783B" w:rsidRDefault="0040783B" w:rsidP="00AE7FF4">
            <w:pPr>
              <w:spacing w:line="259" w:lineRule="auto"/>
              <w:ind w:left="156"/>
            </w:pPr>
            <w:r>
              <w:rPr>
                <w:rFonts w:ascii="Calibri" w:eastAsia="Calibri" w:hAnsi="Calibri" w:cs="Calibri"/>
                <w:b/>
                <w:sz w:val="21"/>
              </w:rPr>
              <w:t>X</w:t>
            </w:r>
          </w:p>
        </w:tc>
        <w:tc>
          <w:tcPr>
            <w:tcW w:w="1527" w:type="dxa"/>
            <w:gridSpan w:val="2"/>
            <w:tcBorders>
              <w:top w:val="single" w:sz="6" w:space="0" w:color="000000"/>
              <w:left w:val="nil"/>
              <w:bottom w:val="single" w:sz="6" w:space="0" w:color="000000"/>
              <w:right w:val="nil"/>
            </w:tcBorders>
            <w:shd w:val="clear" w:color="auto" w:fill="F2F7FB"/>
            <w:vAlign w:val="center"/>
          </w:tcPr>
          <w:p w:rsidR="0040783B" w:rsidRDefault="0040783B" w:rsidP="00AE7FF4">
            <w:pPr>
              <w:spacing w:line="259" w:lineRule="auto"/>
              <w:ind w:left="156"/>
            </w:pPr>
            <w:r>
              <w:rPr>
                <w:rFonts w:ascii="Calibri" w:eastAsia="Calibri" w:hAnsi="Calibri" w:cs="Calibri"/>
                <w:b/>
                <w:sz w:val="21"/>
              </w:rPr>
              <w:t>X</w:t>
            </w:r>
          </w:p>
        </w:tc>
        <w:tc>
          <w:tcPr>
            <w:tcW w:w="1495" w:type="dxa"/>
            <w:gridSpan w:val="2"/>
            <w:tcBorders>
              <w:top w:val="single" w:sz="6" w:space="0" w:color="000000"/>
              <w:left w:val="nil"/>
              <w:bottom w:val="single" w:sz="6" w:space="0" w:color="000000"/>
              <w:right w:val="nil"/>
            </w:tcBorders>
            <w:shd w:val="clear" w:color="auto" w:fill="F2F7FB"/>
            <w:vAlign w:val="center"/>
          </w:tcPr>
          <w:p w:rsidR="0040783B" w:rsidRDefault="0040783B" w:rsidP="00AE7FF4">
            <w:pPr>
              <w:spacing w:line="259" w:lineRule="auto"/>
              <w:ind w:left="156"/>
            </w:pPr>
            <w:r>
              <w:rPr>
                <w:sz w:val="21"/>
              </w:rPr>
              <w:t xml:space="preserve"> </w:t>
            </w:r>
          </w:p>
        </w:tc>
        <w:tc>
          <w:tcPr>
            <w:tcW w:w="1443" w:type="dxa"/>
            <w:gridSpan w:val="2"/>
            <w:tcBorders>
              <w:top w:val="single" w:sz="6" w:space="0" w:color="000000"/>
              <w:left w:val="nil"/>
              <w:bottom w:val="single" w:sz="6" w:space="0" w:color="000000"/>
              <w:right w:val="nil"/>
            </w:tcBorders>
            <w:shd w:val="clear" w:color="auto" w:fill="F2F7FB"/>
            <w:vAlign w:val="center"/>
          </w:tcPr>
          <w:p w:rsidR="0040783B" w:rsidRDefault="0040783B" w:rsidP="00AE7FF4">
            <w:pPr>
              <w:spacing w:line="259" w:lineRule="auto"/>
              <w:ind w:left="156"/>
            </w:pPr>
            <w:r>
              <w:rPr>
                <w:sz w:val="21"/>
              </w:rPr>
              <w:t xml:space="preserve"> </w:t>
            </w:r>
          </w:p>
        </w:tc>
      </w:tr>
      <w:tr w:rsidR="0040783B" w:rsidTr="00AE7FF4">
        <w:trPr>
          <w:trHeight w:val="472"/>
        </w:trPr>
        <w:tc>
          <w:tcPr>
            <w:tcW w:w="3074" w:type="dxa"/>
            <w:tcBorders>
              <w:top w:val="single" w:sz="6" w:space="0" w:color="000000"/>
              <w:left w:val="nil"/>
              <w:bottom w:val="single" w:sz="6" w:space="0" w:color="000000"/>
              <w:right w:val="nil"/>
            </w:tcBorders>
            <w:shd w:val="clear" w:color="auto" w:fill="DEEAF6"/>
            <w:vAlign w:val="center"/>
          </w:tcPr>
          <w:p w:rsidR="0040783B" w:rsidRDefault="0040783B" w:rsidP="00AE7FF4">
            <w:pPr>
              <w:spacing w:line="259" w:lineRule="auto"/>
              <w:ind w:left="208"/>
            </w:pPr>
            <w:r>
              <w:rPr>
                <w:rFonts w:ascii="Calibri" w:eastAsia="Calibri" w:hAnsi="Calibri" w:cs="Calibri"/>
                <w:b/>
                <w:sz w:val="21"/>
              </w:rPr>
              <w:t>Alfuzosin/tamsulosin</w:t>
            </w:r>
          </w:p>
        </w:tc>
        <w:tc>
          <w:tcPr>
            <w:tcW w:w="1495" w:type="dxa"/>
            <w:gridSpan w:val="2"/>
            <w:tcBorders>
              <w:top w:val="single" w:sz="6" w:space="0" w:color="000000"/>
              <w:left w:val="nil"/>
              <w:bottom w:val="single" w:sz="6" w:space="0" w:color="000000"/>
              <w:right w:val="nil"/>
            </w:tcBorders>
            <w:shd w:val="clear" w:color="auto" w:fill="DEEAF6"/>
            <w:vAlign w:val="center"/>
          </w:tcPr>
          <w:p w:rsidR="0040783B" w:rsidRDefault="0040783B" w:rsidP="00AE7FF4">
            <w:pPr>
              <w:spacing w:line="259" w:lineRule="auto"/>
              <w:ind w:left="156"/>
            </w:pPr>
            <w:r>
              <w:rPr>
                <w:sz w:val="21"/>
              </w:rPr>
              <w:t xml:space="preserve"> </w:t>
            </w:r>
          </w:p>
        </w:tc>
        <w:tc>
          <w:tcPr>
            <w:tcW w:w="1495" w:type="dxa"/>
            <w:gridSpan w:val="2"/>
            <w:tcBorders>
              <w:top w:val="single" w:sz="6" w:space="0" w:color="000000"/>
              <w:left w:val="nil"/>
              <w:bottom w:val="single" w:sz="6" w:space="0" w:color="000000"/>
              <w:right w:val="nil"/>
            </w:tcBorders>
            <w:shd w:val="clear" w:color="auto" w:fill="DEEAF6"/>
            <w:vAlign w:val="center"/>
          </w:tcPr>
          <w:p w:rsidR="0040783B" w:rsidRDefault="0040783B" w:rsidP="00AE7FF4">
            <w:pPr>
              <w:spacing w:line="259" w:lineRule="auto"/>
              <w:ind w:left="156"/>
            </w:pPr>
            <w:r>
              <w:rPr>
                <w:sz w:val="21"/>
              </w:rPr>
              <w:t xml:space="preserve"> </w:t>
            </w:r>
          </w:p>
        </w:tc>
        <w:tc>
          <w:tcPr>
            <w:tcW w:w="1527" w:type="dxa"/>
            <w:gridSpan w:val="2"/>
            <w:tcBorders>
              <w:top w:val="single" w:sz="6" w:space="0" w:color="000000"/>
              <w:left w:val="nil"/>
              <w:bottom w:val="single" w:sz="6" w:space="0" w:color="000000"/>
              <w:right w:val="nil"/>
            </w:tcBorders>
            <w:shd w:val="clear" w:color="auto" w:fill="DEEAF6"/>
            <w:vAlign w:val="center"/>
          </w:tcPr>
          <w:p w:rsidR="0040783B" w:rsidRDefault="0040783B" w:rsidP="00AE7FF4">
            <w:pPr>
              <w:spacing w:line="259" w:lineRule="auto"/>
              <w:ind w:left="156"/>
            </w:pPr>
            <w:r>
              <w:rPr>
                <w:rFonts w:ascii="Calibri" w:eastAsia="Calibri" w:hAnsi="Calibri" w:cs="Calibri"/>
                <w:b/>
                <w:sz w:val="21"/>
              </w:rPr>
              <w:t>X</w:t>
            </w:r>
          </w:p>
        </w:tc>
        <w:tc>
          <w:tcPr>
            <w:tcW w:w="1495" w:type="dxa"/>
            <w:gridSpan w:val="2"/>
            <w:tcBorders>
              <w:top w:val="single" w:sz="6" w:space="0" w:color="000000"/>
              <w:left w:val="nil"/>
              <w:bottom w:val="single" w:sz="6" w:space="0" w:color="000000"/>
              <w:right w:val="nil"/>
            </w:tcBorders>
            <w:shd w:val="clear" w:color="auto" w:fill="DEEAF6"/>
            <w:vAlign w:val="center"/>
          </w:tcPr>
          <w:p w:rsidR="0040783B" w:rsidRDefault="0040783B" w:rsidP="00AE7FF4">
            <w:pPr>
              <w:spacing w:line="259" w:lineRule="auto"/>
              <w:ind w:left="156"/>
            </w:pPr>
            <w:r>
              <w:rPr>
                <w:sz w:val="21"/>
              </w:rPr>
              <w:t xml:space="preserve"> </w:t>
            </w:r>
          </w:p>
        </w:tc>
        <w:tc>
          <w:tcPr>
            <w:tcW w:w="1443" w:type="dxa"/>
            <w:gridSpan w:val="2"/>
            <w:tcBorders>
              <w:top w:val="single" w:sz="6" w:space="0" w:color="000000"/>
              <w:left w:val="nil"/>
              <w:bottom w:val="single" w:sz="6" w:space="0" w:color="000000"/>
              <w:right w:val="nil"/>
            </w:tcBorders>
            <w:shd w:val="clear" w:color="auto" w:fill="DEEAF6"/>
            <w:vAlign w:val="center"/>
          </w:tcPr>
          <w:p w:rsidR="0040783B" w:rsidRDefault="0040783B" w:rsidP="00AE7FF4">
            <w:pPr>
              <w:spacing w:line="259" w:lineRule="auto"/>
              <w:ind w:left="156"/>
            </w:pPr>
            <w:r>
              <w:rPr>
                <w:sz w:val="21"/>
              </w:rPr>
              <w:t xml:space="preserve"> </w:t>
            </w:r>
          </w:p>
        </w:tc>
      </w:tr>
      <w:tr w:rsidR="0040783B" w:rsidTr="00AE7FF4">
        <w:trPr>
          <w:trHeight w:val="472"/>
        </w:trPr>
        <w:tc>
          <w:tcPr>
            <w:tcW w:w="3074" w:type="dxa"/>
            <w:tcBorders>
              <w:top w:val="single" w:sz="6" w:space="0" w:color="000000"/>
              <w:left w:val="nil"/>
              <w:bottom w:val="single" w:sz="6" w:space="0" w:color="000000"/>
              <w:right w:val="nil"/>
            </w:tcBorders>
            <w:shd w:val="clear" w:color="auto" w:fill="F2F7FB"/>
            <w:vAlign w:val="center"/>
          </w:tcPr>
          <w:p w:rsidR="0040783B" w:rsidRDefault="0040783B" w:rsidP="00AE7FF4">
            <w:pPr>
              <w:spacing w:line="259" w:lineRule="auto"/>
              <w:ind w:left="208"/>
            </w:pPr>
            <w:r>
              <w:rPr>
                <w:rFonts w:ascii="Calibri" w:eastAsia="Calibri" w:hAnsi="Calibri" w:cs="Calibri"/>
                <w:b/>
                <w:sz w:val="21"/>
              </w:rPr>
              <w:t>Amiodarone</w:t>
            </w:r>
          </w:p>
        </w:tc>
        <w:tc>
          <w:tcPr>
            <w:tcW w:w="1495" w:type="dxa"/>
            <w:gridSpan w:val="2"/>
            <w:tcBorders>
              <w:top w:val="single" w:sz="6" w:space="0" w:color="000000"/>
              <w:left w:val="nil"/>
              <w:bottom w:val="single" w:sz="6" w:space="0" w:color="000000"/>
              <w:right w:val="nil"/>
            </w:tcBorders>
            <w:shd w:val="clear" w:color="auto" w:fill="F2F7FB"/>
            <w:vAlign w:val="center"/>
          </w:tcPr>
          <w:p w:rsidR="0040783B" w:rsidRDefault="0040783B" w:rsidP="00AE7FF4">
            <w:pPr>
              <w:spacing w:line="259" w:lineRule="auto"/>
              <w:ind w:left="156"/>
            </w:pPr>
            <w:r>
              <w:rPr>
                <w:rFonts w:ascii="Calibri" w:eastAsia="Calibri" w:hAnsi="Calibri" w:cs="Calibri"/>
                <w:b/>
                <w:sz w:val="21"/>
              </w:rPr>
              <w:t>X</w:t>
            </w:r>
          </w:p>
        </w:tc>
        <w:tc>
          <w:tcPr>
            <w:tcW w:w="1495" w:type="dxa"/>
            <w:gridSpan w:val="2"/>
            <w:tcBorders>
              <w:top w:val="single" w:sz="6" w:space="0" w:color="000000"/>
              <w:left w:val="nil"/>
              <w:bottom w:val="single" w:sz="6" w:space="0" w:color="000000"/>
              <w:right w:val="nil"/>
            </w:tcBorders>
            <w:shd w:val="clear" w:color="auto" w:fill="F2F7FB"/>
            <w:vAlign w:val="center"/>
          </w:tcPr>
          <w:p w:rsidR="0040783B" w:rsidRDefault="0040783B" w:rsidP="00AE7FF4">
            <w:pPr>
              <w:spacing w:line="259" w:lineRule="auto"/>
              <w:ind w:left="156"/>
            </w:pPr>
            <w:r>
              <w:rPr>
                <w:rFonts w:ascii="Calibri" w:eastAsia="Calibri" w:hAnsi="Calibri" w:cs="Calibri"/>
                <w:b/>
                <w:sz w:val="21"/>
              </w:rPr>
              <w:t>X</w:t>
            </w:r>
          </w:p>
        </w:tc>
        <w:tc>
          <w:tcPr>
            <w:tcW w:w="1527" w:type="dxa"/>
            <w:gridSpan w:val="2"/>
            <w:tcBorders>
              <w:top w:val="single" w:sz="6" w:space="0" w:color="000000"/>
              <w:left w:val="nil"/>
              <w:bottom w:val="single" w:sz="6" w:space="0" w:color="000000"/>
              <w:right w:val="nil"/>
            </w:tcBorders>
            <w:shd w:val="clear" w:color="auto" w:fill="F2F7FB"/>
            <w:vAlign w:val="center"/>
          </w:tcPr>
          <w:p w:rsidR="0040783B" w:rsidRDefault="0040783B" w:rsidP="00AE7FF4">
            <w:pPr>
              <w:spacing w:line="259" w:lineRule="auto"/>
              <w:ind w:left="156"/>
            </w:pPr>
            <w:r>
              <w:rPr>
                <w:rFonts w:ascii="Calibri" w:eastAsia="Calibri" w:hAnsi="Calibri" w:cs="Calibri"/>
                <w:b/>
                <w:sz w:val="21"/>
              </w:rPr>
              <w:t>X</w:t>
            </w:r>
          </w:p>
        </w:tc>
        <w:tc>
          <w:tcPr>
            <w:tcW w:w="1495" w:type="dxa"/>
            <w:gridSpan w:val="2"/>
            <w:tcBorders>
              <w:top w:val="single" w:sz="6" w:space="0" w:color="000000"/>
              <w:left w:val="nil"/>
              <w:bottom w:val="single" w:sz="6" w:space="0" w:color="000000"/>
              <w:right w:val="nil"/>
            </w:tcBorders>
            <w:shd w:val="clear" w:color="auto" w:fill="F2F7FB"/>
            <w:vAlign w:val="center"/>
          </w:tcPr>
          <w:p w:rsidR="0040783B" w:rsidRDefault="0040783B" w:rsidP="00AE7FF4">
            <w:pPr>
              <w:spacing w:line="259" w:lineRule="auto"/>
              <w:ind w:left="156"/>
            </w:pPr>
            <w:r>
              <w:rPr>
                <w:rFonts w:ascii="Calibri" w:eastAsia="Calibri" w:hAnsi="Calibri" w:cs="Calibri"/>
                <w:b/>
                <w:sz w:val="21"/>
              </w:rPr>
              <w:t>X</w:t>
            </w:r>
          </w:p>
        </w:tc>
        <w:tc>
          <w:tcPr>
            <w:tcW w:w="1443" w:type="dxa"/>
            <w:gridSpan w:val="2"/>
            <w:tcBorders>
              <w:top w:val="single" w:sz="6" w:space="0" w:color="000000"/>
              <w:left w:val="nil"/>
              <w:bottom w:val="single" w:sz="6" w:space="0" w:color="000000"/>
              <w:right w:val="nil"/>
            </w:tcBorders>
            <w:shd w:val="clear" w:color="auto" w:fill="F2F7FB"/>
            <w:vAlign w:val="center"/>
          </w:tcPr>
          <w:p w:rsidR="0040783B" w:rsidRDefault="0040783B" w:rsidP="00AE7FF4">
            <w:pPr>
              <w:spacing w:line="259" w:lineRule="auto"/>
              <w:ind w:left="156"/>
            </w:pPr>
            <w:r>
              <w:rPr>
                <w:rFonts w:ascii="Calibri" w:eastAsia="Calibri" w:hAnsi="Calibri" w:cs="Calibri"/>
                <w:b/>
                <w:sz w:val="21"/>
              </w:rPr>
              <w:t>X</w:t>
            </w:r>
          </w:p>
        </w:tc>
      </w:tr>
      <w:tr w:rsidR="0040783B" w:rsidTr="00AE7FF4">
        <w:trPr>
          <w:trHeight w:val="472"/>
        </w:trPr>
        <w:tc>
          <w:tcPr>
            <w:tcW w:w="3074" w:type="dxa"/>
            <w:tcBorders>
              <w:top w:val="single" w:sz="6" w:space="0" w:color="000000"/>
              <w:left w:val="nil"/>
              <w:bottom w:val="single" w:sz="6" w:space="0" w:color="000000"/>
              <w:right w:val="nil"/>
            </w:tcBorders>
            <w:shd w:val="clear" w:color="auto" w:fill="DEEAF6"/>
            <w:vAlign w:val="center"/>
          </w:tcPr>
          <w:p w:rsidR="0040783B" w:rsidRDefault="0040783B" w:rsidP="00AE7FF4">
            <w:pPr>
              <w:spacing w:line="259" w:lineRule="auto"/>
              <w:ind w:left="208"/>
            </w:pPr>
            <w:r>
              <w:rPr>
                <w:rFonts w:ascii="Calibri" w:eastAsia="Calibri" w:hAnsi="Calibri" w:cs="Calibri"/>
                <w:b/>
                <w:sz w:val="21"/>
              </w:rPr>
              <w:t>Антиконвульсанты</w:t>
            </w:r>
          </w:p>
        </w:tc>
        <w:tc>
          <w:tcPr>
            <w:tcW w:w="1495" w:type="dxa"/>
            <w:gridSpan w:val="2"/>
            <w:tcBorders>
              <w:top w:val="single" w:sz="6" w:space="0" w:color="000000"/>
              <w:left w:val="nil"/>
              <w:bottom w:val="single" w:sz="6" w:space="0" w:color="000000"/>
              <w:right w:val="nil"/>
            </w:tcBorders>
            <w:shd w:val="clear" w:color="auto" w:fill="DEEAF6"/>
            <w:vAlign w:val="center"/>
          </w:tcPr>
          <w:p w:rsidR="0040783B" w:rsidRDefault="0040783B" w:rsidP="00AE7FF4">
            <w:pPr>
              <w:spacing w:line="259" w:lineRule="auto"/>
              <w:ind w:left="156"/>
            </w:pPr>
            <w:r>
              <w:rPr>
                <w:rFonts w:ascii="Calibri" w:eastAsia="Calibri" w:hAnsi="Calibri" w:cs="Calibri"/>
                <w:b/>
                <w:sz w:val="21"/>
              </w:rPr>
              <w:t>X</w:t>
            </w:r>
          </w:p>
        </w:tc>
        <w:tc>
          <w:tcPr>
            <w:tcW w:w="1495" w:type="dxa"/>
            <w:gridSpan w:val="2"/>
            <w:tcBorders>
              <w:top w:val="single" w:sz="6" w:space="0" w:color="000000"/>
              <w:left w:val="nil"/>
              <w:bottom w:val="single" w:sz="6" w:space="0" w:color="000000"/>
              <w:right w:val="nil"/>
            </w:tcBorders>
            <w:shd w:val="clear" w:color="auto" w:fill="DEEAF6"/>
            <w:vAlign w:val="center"/>
          </w:tcPr>
          <w:p w:rsidR="0040783B" w:rsidRDefault="0040783B" w:rsidP="00AE7FF4">
            <w:pPr>
              <w:spacing w:line="259" w:lineRule="auto"/>
              <w:ind w:left="156"/>
            </w:pPr>
            <w:r>
              <w:rPr>
                <w:rFonts w:ascii="Calibri" w:eastAsia="Calibri" w:hAnsi="Calibri" w:cs="Calibri"/>
                <w:b/>
                <w:sz w:val="21"/>
              </w:rPr>
              <w:t>X</w:t>
            </w:r>
          </w:p>
        </w:tc>
        <w:tc>
          <w:tcPr>
            <w:tcW w:w="1527" w:type="dxa"/>
            <w:gridSpan w:val="2"/>
            <w:tcBorders>
              <w:top w:val="single" w:sz="6" w:space="0" w:color="000000"/>
              <w:left w:val="nil"/>
              <w:bottom w:val="single" w:sz="6" w:space="0" w:color="000000"/>
              <w:right w:val="nil"/>
            </w:tcBorders>
            <w:shd w:val="clear" w:color="auto" w:fill="DEEAF6"/>
            <w:vAlign w:val="center"/>
          </w:tcPr>
          <w:p w:rsidR="0040783B" w:rsidRDefault="0040783B" w:rsidP="00AE7FF4">
            <w:pPr>
              <w:spacing w:line="259" w:lineRule="auto"/>
              <w:ind w:left="156"/>
            </w:pPr>
            <w:r>
              <w:rPr>
                <w:rFonts w:ascii="Calibri" w:eastAsia="Calibri" w:hAnsi="Calibri" w:cs="Calibri"/>
                <w:b/>
                <w:sz w:val="21"/>
              </w:rPr>
              <w:t>X</w:t>
            </w:r>
          </w:p>
        </w:tc>
        <w:tc>
          <w:tcPr>
            <w:tcW w:w="1495" w:type="dxa"/>
            <w:gridSpan w:val="2"/>
            <w:tcBorders>
              <w:top w:val="single" w:sz="6" w:space="0" w:color="000000"/>
              <w:left w:val="nil"/>
              <w:bottom w:val="single" w:sz="6" w:space="0" w:color="000000"/>
              <w:right w:val="nil"/>
            </w:tcBorders>
            <w:shd w:val="clear" w:color="auto" w:fill="DEEAF6"/>
            <w:vAlign w:val="center"/>
          </w:tcPr>
          <w:p w:rsidR="0040783B" w:rsidRDefault="0040783B" w:rsidP="00AE7FF4">
            <w:pPr>
              <w:spacing w:line="259" w:lineRule="auto"/>
              <w:ind w:left="156"/>
            </w:pPr>
            <w:r>
              <w:rPr>
                <w:rFonts w:ascii="Calibri" w:eastAsia="Calibri" w:hAnsi="Calibri" w:cs="Calibri"/>
                <w:b/>
                <w:sz w:val="21"/>
              </w:rPr>
              <w:t>X</w:t>
            </w:r>
          </w:p>
        </w:tc>
        <w:tc>
          <w:tcPr>
            <w:tcW w:w="1443" w:type="dxa"/>
            <w:gridSpan w:val="2"/>
            <w:tcBorders>
              <w:top w:val="single" w:sz="6" w:space="0" w:color="000000"/>
              <w:left w:val="nil"/>
              <w:bottom w:val="single" w:sz="6" w:space="0" w:color="000000"/>
              <w:right w:val="nil"/>
            </w:tcBorders>
            <w:shd w:val="clear" w:color="auto" w:fill="DEEAF6"/>
            <w:vAlign w:val="center"/>
          </w:tcPr>
          <w:p w:rsidR="0040783B" w:rsidRDefault="0040783B" w:rsidP="00AE7FF4">
            <w:pPr>
              <w:spacing w:line="259" w:lineRule="auto"/>
              <w:ind w:left="156"/>
            </w:pPr>
            <w:r>
              <w:rPr>
                <w:rFonts w:ascii="Calibri" w:eastAsia="Calibri" w:hAnsi="Calibri" w:cs="Calibri"/>
                <w:b/>
                <w:sz w:val="21"/>
              </w:rPr>
              <w:t>X</w:t>
            </w:r>
          </w:p>
        </w:tc>
      </w:tr>
      <w:tr w:rsidR="0040783B" w:rsidTr="00AE7FF4">
        <w:trPr>
          <w:trHeight w:val="722"/>
        </w:trPr>
        <w:tc>
          <w:tcPr>
            <w:tcW w:w="3074" w:type="dxa"/>
            <w:tcBorders>
              <w:top w:val="single" w:sz="6" w:space="0" w:color="000000"/>
              <w:left w:val="nil"/>
              <w:bottom w:val="single" w:sz="6" w:space="0" w:color="000000"/>
              <w:right w:val="nil"/>
            </w:tcBorders>
            <w:shd w:val="clear" w:color="auto" w:fill="F2F7FB"/>
          </w:tcPr>
          <w:p w:rsidR="0040783B" w:rsidRDefault="0040783B" w:rsidP="00AE7FF4">
            <w:pPr>
              <w:spacing w:line="259" w:lineRule="auto"/>
              <w:ind w:left="208"/>
            </w:pPr>
            <w:r>
              <w:rPr>
                <w:rFonts w:ascii="Calibri" w:eastAsia="Calibri" w:hAnsi="Calibri" w:cs="Calibri"/>
                <w:b/>
                <w:sz w:val="21"/>
              </w:rPr>
              <w:t>Антиретровирусные средства*</w:t>
            </w:r>
          </w:p>
        </w:tc>
        <w:tc>
          <w:tcPr>
            <w:tcW w:w="1495" w:type="dxa"/>
            <w:gridSpan w:val="2"/>
            <w:tcBorders>
              <w:top w:val="single" w:sz="6" w:space="0" w:color="000000"/>
              <w:left w:val="nil"/>
              <w:bottom w:val="single" w:sz="6" w:space="0" w:color="000000"/>
              <w:right w:val="nil"/>
            </w:tcBorders>
            <w:shd w:val="clear" w:color="auto" w:fill="F2F7FB"/>
            <w:vAlign w:val="center"/>
          </w:tcPr>
          <w:p w:rsidR="0040783B" w:rsidRDefault="0040783B" w:rsidP="00AE7FF4">
            <w:pPr>
              <w:spacing w:line="259" w:lineRule="auto"/>
              <w:ind w:left="156"/>
            </w:pPr>
            <w:r>
              <w:rPr>
                <w:rFonts w:ascii="Calibri" w:eastAsia="Calibri" w:hAnsi="Calibri" w:cs="Calibri"/>
                <w:b/>
                <w:sz w:val="21"/>
              </w:rPr>
              <w:t>Посмотрите секцию ВИЧ</w:t>
            </w:r>
          </w:p>
        </w:tc>
        <w:tc>
          <w:tcPr>
            <w:tcW w:w="1495" w:type="dxa"/>
            <w:gridSpan w:val="2"/>
            <w:tcBorders>
              <w:top w:val="single" w:sz="6" w:space="0" w:color="000000"/>
              <w:left w:val="nil"/>
              <w:bottom w:val="single" w:sz="6" w:space="0" w:color="000000"/>
              <w:right w:val="nil"/>
            </w:tcBorders>
            <w:shd w:val="clear" w:color="auto" w:fill="F2F7FB"/>
            <w:vAlign w:val="center"/>
          </w:tcPr>
          <w:p w:rsidR="0040783B" w:rsidRDefault="0040783B" w:rsidP="00AE7FF4">
            <w:pPr>
              <w:spacing w:line="259" w:lineRule="auto"/>
              <w:ind w:left="156"/>
            </w:pPr>
            <w:r>
              <w:rPr>
                <w:rFonts w:ascii="Calibri" w:eastAsia="Calibri" w:hAnsi="Calibri" w:cs="Calibri"/>
                <w:b/>
                <w:sz w:val="21"/>
              </w:rPr>
              <w:t>Посмотрите секцию ВИЧ</w:t>
            </w:r>
          </w:p>
        </w:tc>
        <w:tc>
          <w:tcPr>
            <w:tcW w:w="1527" w:type="dxa"/>
            <w:gridSpan w:val="2"/>
            <w:tcBorders>
              <w:top w:val="single" w:sz="6" w:space="0" w:color="000000"/>
              <w:left w:val="nil"/>
              <w:bottom w:val="single" w:sz="6" w:space="0" w:color="000000"/>
              <w:right w:val="nil"/>
            </w:tcBorders>
            <w:shd w:val="clear" w:color="auto" w:fill="F2F7FB"/>
            <w:vAlign w:val="center"/>
          </w:tcPr>
          <w:p w:rsidR="0040783B" w:rsidRDefault="0040783B" w:rsidP="00AE7FF4">
            <w:pPr>
              <w:spacing w:line="259" w:lineRule="auto"/>
              <w:ind w:left="156"/>
            </w:pPr>
            <w:r>
              <w:rPr>
                <w:rFonts w:ascii="Calibri" w:eastAsia="Calibri" w:hAnsi="Calibri" w:cs="Calibri"/>
                <w:b/>
                <w:sz w:val="21"/>
              </w:rPr>
              <w:t>Посмотрите секцию ВИЧ</w:t>
            </w:r>
          </w:p>
        </w:tc>
        <w:tc>
          <w:tcPr>
            <w:tcW w:w="1495" w:type="dxa"/>
            <w:gridSpan w:val="2"/>
            <w:tcBorders>
              <w:top w:val="single" w:sz="6" w:space="0" w:color="000000"/>
              <w:left w:val="nil"/>
              <w:bottom w:val="single" w:sz="6" w:space="0" w:color="000000"/>
              <w:right w:val="nil"/>
            </w:tcBorders>
            <w:shd w:val="clear" w:color="auto" w:fill="F2F7FB"/>
            <w:vAlign w:val="center"/>
          </w:tcPr>
          <w:p w:rsidR="0040783B" w:rsidRDefault="0040783B" w:rsidP="00AE7FF4">
            <w:pPr>
              <w:spacing w:line="259" w:lineRule="auto"/>
              <w:ind w:left="156"/>
            </w:pPr>
            <w:r>
              <w:rPr>
                <w:rFonts w:ascii="Calibri" w:eastAsia="Calibri" w:hAnsi="Calibri" w:cs="Calibri"/>
                <w:b/>
                <w:sz w:val="21"/>
              </w:rPr>
              <w:t>Посмотрите секцию ВИЧ</w:t>
            </w:r>
          </w:p>
        </w:tc>
        <w:tc>
          <w:tcPr>
            <w:tcW w:w="1443" w:type="dxa"/>
            <w:gridSpan w:val="2"/>
            <w:tcBorders>
              <w:top w:val="single" w:sz="6" w:space="0" w:color="000000"/>
              <w:left w:val="nil"/>
              <w:bottom w:val="single" w:sz="6" w:space="0" w:color="000000"/>
              <w:right w:val="nil"/>
            </w:tcBorders>
            <w:shd w:val="clear" w:color="auto" w:fill="F2F7FB"/>
            <w:vAlign w:val="center"/>
          </w:tcPr>
          <w:p w:rsidR="0040783B" w:rsidRDefault="0040783B" w:rsidP="00AE7FF4">
            <w:pPr>
              <w:spacing w:line="259" w:lineRule="auto"/>
              <w:ind w:left="156"/>
            </w:pPr>
            <w:r>
              <w:rPr>
                <w:rFonts w:ascii="Calibri" w:eastAsia="Calibri" w:hAnsi="Calibri" w:cs="Calibri"/>
                <w:b/>
                <w:sz w:val="21"/>
              </w:rPr>
              <w:t>Посмотрите секцию ВИЧ</w:t>
            </w:r>
          </w:p>
        </w:tc>
      </w:tr>
      <w:tr w:rsidR="0040783B" w:rsidTr="00AE7FF4">
        <w:trPr>
          <w:trHeight w:val="472"/>
        </w:trPr>
        <w:tc>
          <w:tcPr>
            <w:tcW w:w="3074" w:type="dxa"/>
            <w:tcBorders>
              <w:top w:val="single" w:sz="6" w:space="0" w:color="000000"/>
              <w:left w:val="nil"/>
              <w:bottom w:val="single" w:sz="6" w:space="0" w:color="000000"/>
              <w:right w:val="nil"/>
            </w:tcBorders>
            <w:shd w:val="clear" w:color="auto" w:fill="DEEAF6"/>
            <w:vAlign w:val="center"/>
          </w:tcPr>
          <w:p w:rsidR="0040783B" w:rsidRDefault="0040783B" w:rsidP="00AE7FF4">
            <w:pPr>
              <w:spacing w:line="259" w:lineRule="auto"/>
              <w:ind w:left="208"/>
            </w:pPr>
            <w:r>
              <w:rPr>
                <w:rFonts w:ascii="Calibri" w:eastAsia="Calibri" w:hAnsi="Calibri" w:cs="Calibri"/>
                <w:b/>
                <w:sz w:val="21"/>
              </w:rPr>
              <w:t>Azole antifungals*</w:t>
            </w:r>
          </w:p>
        </w:tc>
        <w:tc>
          <w:tcPr>
            <w:tcW w:w="1495" w:type="dxa"/>
            <w:gridSpan w:val="2"/>
            <w:tcBorders>
              <w:top w:val="single" w:sz="6" w:space="0" w:color="000000"/>
              <w:left w:val="nil"/>
              <w:bottom w:val="single" w:sz="6" w:space="0" w:color="000000"/>
              <w:right w:val="nil"/>
            </w:tcBorders>
            <w:shd w:val="clear" w:color="auto" w:fill="DEEAF6"/>
            <w:vAlign w:val="center"/>
          </w:tcPr>
          <w:p w:rsidR="0040783B" w:rsidRDefault="0040783B" w:rsidP="00AE7FF4">
            <w:pPr>
              <w:spacing w:line="259" w:lineRule="auto"/>
              <w:ind w:left="156"/>
            </w:pPr>
            <w:r>
              <w:rPr>
                <w:rFonts w:ascii="Calibri" w:eastAsia="Calibri" w:hAnsi="Calibri" w:cs="Calibri"/>
                <w:b/>
                <w:sz w:val="21"/>
              </w:rPr>
              <w:t>X **</w:t>
            </w:r>
          </w:p>
        </w:tc>
        <w:tc>
          <w:tcPr>
            <w:tcW w:w="1495" w:type="dxa"/>
            <w:gridSpan w:val="2"/>
            <w:tcBorders>
              <w:top w:val="single" w:sz="6" w:space="0" w:color="000000"/>
              <w:left w:val="nil"/>
              <w:bottom w:val="single" w:sz="6" w:space="0" w:color="000000"/>
              <w:right w:val="nil"/>
            </w:tcBorders>
            <w:shd w:val="clear" w:color="auto" w:fill="DEEAF6"/>
            <w:vAlign w:val="center"/>
          </w:tcPr>
          <w:p w:rsidR="0040783B" w:rsidRDefault="0040783B" w:rsidP="00AE7FF4">
            <w:pPr>
              <w:spacing w:line="259" w:lineRule="auto"/>
              <w:ind w:left="156"/>
            </w:pPr>
            <w:r>
              <w:rPr>
                <w:sz w:val="21"/>
              </w:rPr>
              <w:t xml:space="preserve"> </w:t>
            </w:r>
          </w:p>
        </w:tc>
        <w:tc>
          <w:tcPr>
            <w:tcW w:w="1527" w:type="dxa"/>
            <w:gridSpan w:val="2"/>
            <w:tcBorders>
              <w:top w:val="single" w:sz="6" w:space="0" w:color="000000"/>
              <w:left w:val="nil"/>
              <w:bottom w:val="single" w:sz="6" w:space="0" w:color="000000"/>
              <w:right w:val="nil"/>
            </w:tcBorders>
            <w:shd w:val="clear" w:color="auto" w:fill="DEEAF6"/>
            <w:vAlign w:val="center"/>
          </w:tcPr>
          <w:p w:rsidR="0040783B" w:rsidRDefault="0040783B" w:rsidP="00AE7FF4">
            <w:pPr>
              <w:spacing w:line="259" w:lineRule="auto"/>
              <w:ind w:left="156"/>
            </w:pPr>
            <w:r>
              <w:rPr>
                <w:rFonts w:ascii="Calibri" w:eastAsia="Calibri" w:hAnsi="Calibri" w:cs="Calibri"/>
                <w:b/>
                <w:sz w:val="21"/>
              </w:rPr>
              <w:t>X</w:t>
            </w:r>
          </w:p>
        </w:tc>
        <w:tc>
          <w:tcPr>
            <w:tcW w:w="1495" w:type="dxa"/>
            <w:gridSpan w:val="2"/>
            <w:tcBorders>
              <w:top w:val="single" w:sz="6" w:space="0" w:color="000000"/>
              <w:left w:val="nil"/>
              <w:bottom w:val="single" w:sz="6" w:space="0" w:color="000000"/>
              <w:right w:val="nil"/>
            </w:tcBorders>
            <w:shd w:val="clear" w:color="auto" w:fill="DEEAF6"/>
            <w:vAlign w:val="center"/>
          </w:tcPr>
          <w:p w:rsidR="0040783B" w:rsidRDefault="0040783B" w:rsidP="00AE7FF4">
            <w:pPr>
              <w:spacing w:line="259" w:lineRule="auto"/>
              <w:ind w:left="156"/>
            </w:pPr>
            <w:r>
              <w:rPr>
                <w:rFonts w:ascii="Calibri" w:eastAsia="Calibri" w:hAnsi="Calibri" w:cs="Calibri"/>
                <w:b/>
                <w:sz w:val="21"/>
              </w:rPr>
              <w:t>X</w:t>
            </w:r>
          </w:p>
        </w:tc>
        <w:tc>
          <w:tcPr>
            <w:tcW w:w="1443" w:type="dxa"/>
            <w:gridSpan w:val="2"/>
            <w:tcBorders>
              <w:top w:val="single" w:sz="6" w:space="0" w:color="000000"/>
              <w:left w:val="nil"/>
              <w:bottom w:val="single" w:sz="6" w:space="0" w:color="000000"/>
              <w:right w:val="nil"/>
            </w:tcBorders>
            <w:shd w:val="clear" w:color="auto" w:fill="DEEAF6"/>
            <w:vAlign w:val="center"/>
          </w:tcPr>
          <w:p w:rsidR="0040783B" w:rsidRDefault="0040783B" w:rsidP="00AE7FF4">
            <w:pPr>
              <w:spacing w:line="259" w:lineRule="auto"/>
              <w:ind w:left="156"/>
            </w:pPr>
            <w:r>
              <w:rPr>
                <w:sz w:val="21"/>
              </w:rPr>
              <w:t xml:space="preserve"> </w:t>
            </w:r>
          </w:p>
        </w:tc>
      </w:tr>
      <w:tr w:rsidR="0040783B" w:rsidTr="00AE7FF4">
        <w:trPr>
          <w:trHeight w:val="472"/>
        </w:trPr>
        <w:tc>
          <w:tcPr>
            <w:tcW w:w="3074" w:type="dxa"/>
            <w:tcBorders>
              <w:top w:val="single" w:sz="6" w:space="0" w:color="000000"/>
              <w:left w:val="nil"/>
              <w:bottom w:val="single" w:sz="6" w:space="0" w:color="000000"/>
              <w:right w:val="nil"/>
            </w:tcBorders>
            <w:shd w:val="clear" w:color="auto" w:fill="F2F7FB"/>
            <w:vAlign w:val="center"/>
          </w:tcPr>
          <w:p w:rsidR="0040783B" w:rsidRDefault="0040783B" w:rsidP="00AE7FF4">
            <w:pPr>
              <w:spacing w:line="259" w:lineRule="auto"/>
              <w:ind w:left="208"/>
            </w:pPr>
            <w:r>
              <w:rPr>
                <w:rFonts w:ascii="Calibri" w:eastAsia="Calibri" w:hAnsi="Calibri" w:cs="Calibri"/>
                <w:b/>
                <w:sz w:val="21"/>
              </w:rPr>
              <w:t>Бупренорфин/налоксон</w:t>
            </w:r>
          </w:p>
        </w:tc>
        <w:tc>
          <w:tcPr>
            <w:tcW w:w="1495" w:type="dxa"/>
            <w:gridSpan w:val="2"/>
            <w:tcBorders>
              <w:top w:val="single" w:sz="6" w:space="0" w:color="000000"/>
              <w:left w:val="nil"/>
              <w:bottom w:val="single" w:sz="6" w:space="0" w:color="000000"/>
              <w:right w:val="nil"/>
            </w:tcBorders>
            <w:shd w:val="clear" w:color="auto" w:fill="F2F7FB"/>
            <w:vAlign w:val="center"/>
          </w:tcPr>
          <w:p w:rsidR="0040783B" w:rsidRDefault="0040783B" w:rsidP="00AE7FF4">
            <w:pPr>
              <w:spacing w:line="259" w:lineRule="auto"/>
              <w:ind w:left="156"/>
            </w:pPr>
            <w:r>
              <w:rPr>
                <w:sz w:val="21"/>
              </w:rPr>
              <w:t xml:space="preserve"> </w:t>
            </w:r>
          </w:p>
        </w:tc>
        <w:tc>
          <w:tcPr>
            <w:tcW w:w="1495" w:type="dxa"/>
            <w:gridSpan w:val="2"/>
            <w:tcBorders>
              <w:top w:val="single" w:sz="6" w:space="0" w:color="000000"/>
              <w:left w:val="nil"/>
              <w:bottom w:val="single" w:sz="6" w:space="0" w:color="000000"/>
              <w:right w:val="nil"/>
            </w:tcBorders>
            <w:shd w:val="clear" w:color="auto" w:fill="F2F7FB"/>
            <w:vAlign w:val="center"/>
          </w:tcPr>
          <w:p w:rsidR="0040783B" w:rsidRDefault="0040783B" w:rsidP="00AE7FF4">
            <w:pPr>
              <w:spacing w:line="259" w:lineRule="auto"/>
              <w:ind w:left="156"/>
            </w:pPr>
            <w:r>
              <w:rPr>
                <w:sz w:val="21"/>
              </w:rPr>
              <w:t xml:space="preserve"> </w:t>
            </w:r>
          </w:p>
        </w:tc>
        <w:tc>
          <w:tcPr>
            <w:tcW w:w="1527" w:type="dxa"/>
            <w:gridSpan w:val="2"/>
            <w:tcBorders>
              <w:top w:val="single" w:sz="6" w:space="0" w:color="000000"/>
              <w:left w:val="nil"/>
              <w:bottom w:val="single" w:sz="6" w:space="0" w:color="000000"/>
              <w:right w:val="nil"/>
            </w:tcBorders>
            <w:shd w:val="clear" w:color="auto" w:fill="F2F7FB"/>
            <w:vAlign w:val="center"/>
          </w:tcPr>
          <w:p w:rsidR="0040783B" w:rsidRDefault="0040783B" w:rsidP="00AE7FF4">
            <w:pPr>
              <w:spacing w:line="259" w:lineRule="auto"/>
              <w:ind w:left="156"/>
            </w:pPr>
            <w:r>
              <w:rPr>
                <w:rFonts w:ascii="Calibri" w:eastAsia="Calibri" w:hAnsi="Calibri" w:cs="Calibri"/>
                <w:b/>
                <w:sz w:val="21"/>
              </w:rPr>
              <w:t>X</w:t>
            </w:r>
          </w:p>
        </w:tc>
        <w:tc>
          <w:tcPr>
            <w:tcW w:w="1495" w:type="dxa"/>
            <w:gridSpan w:val="2"/>
            <w:tcBorders>
              <w:top w:val="single" w:sz="6" w:space="0" w:color="000000"/>
              <w:left w:val="nil"/>
              <w:bottom w:val="single" w:sz="6" w:space="0" w:color="000000"/>
              <w:right w:val="nil"/>
            </w:tcBorders>
            <w:shd w:val="clear" w:color="auto" w:fill="F2F7FB"/>
            <w:vAlign w:val="center"/>
          </w:tcPr>
          <w:p w:rsidR="0040783B" w:rsidRDefault="0040783B" w:rsidP="00AE7FF4">
            <w:pPr>
              <w:spacing w:line="259" w:lineRule="auto"/>
              <w:ind w:left="156"/>
            </w:pPr>
            <w:r>
              <w:rPr>
                <w:sz w:val="21"/>
              </w:rPr>
              <w:t xml:space="preserve"> </w:t>
            </w:r>
          </w:p>
        </w:tc>
        <w:tc>
          <w:tcPr>
            <w:tcW w:w="1443" w:type="dxa"/>
            <w:gridSpan w:val="2"/>
            <w:tcBorders>
              <w:top w:val="single" w:sz="6" w:space="0" w:color="000000"/>
              <w:left w:val="nil"/>
              <w:bottom w:val="single" w:sz="6" w:space="0" w:color="000000"/>
              <w:right w:val="nil"/>
            </w:tcBorders>
            <w:shd w:val="clear" w:color="auto" w:fill="F2F7FB"/>
            <w:vAlign w:val="center"/>
          </w:tcPr>
          <w:p w:rsidR="0040783B" w:rsidRDefault="0040783B" w:rsidP="00AE7FF4">
            <w:pPr>
              <w:spacing w:line="259" w:lineRule="auto"/>
              <w:ind w:left="156"/>
            </w:pPr>
            <w:r>
              <w:rPr>
                <w:sz w:val="21"/>
              </w:rPr>
              <w:t xml:space="preserve"> </w:t>
            </w:r>
          </w:p>
        </w:tc>
      </w:tr>
      <w:tr w:rsidR="0040783B" w:rsidTr="00AE7FF4">
        <w:trPr>
          <w:trHeight w:val="472"/>
        </w:trPr>
        <w:tc>
          <w:tcPr>
            <w:tcW w:w="3074" w:type="dxa"/>
            <w:tcBorders>
              <w:top w:val="single" w:sz="6" w:space="0" w:color="000000"/>
              <w:left w:val="nil"/>
              <w:bottom w:val="single" w:sz="6" w:space="0" w:color="000000"/>
              <w:right w:val="nil"/>
            </w:tcBorders>
            <w:shd w:val="clear" w:color="auto" w:fill="DEEAF6"/>
            <w:vAlign w:val="center"/>
          </w:tcPr>
          <w:p w:rsidR="0040783B" w:rsidRDefault="0040783B" w:rsidP="00AE7FF4">
            <w:pPr>
              <w:spacing w:line="259" w:lineRule="auto"/>
              <w:ind w:left="208"/>
            </w:pPr>
            <w:r>
              <w:rPr>
                <w:rFonts w:ascii="Calibri" w:eastAsia="Calibri" w:hAnsi="Calibri" w:cs="Calibri"/>
                <w:b/>
                <w:sz w:val="21"/>
              </w:rPr>
              <w:t>Ингибиторы кальциневрина*</w:t>
            </w:r>
          </w:p>
        </w:tc>
        <w:tc>
          <w:tcPr>
            <w:tcW w:w="1495" w:type="dxa"/>
            <w:gridSpan w:val="2"/>
            <w:tcBorders>
              <w:top w:val="single" w:sz="6" w:space="0" w:color="000000"/>
              <w:left w:val="nil"/>
              <w:bottom w:val="single" w:sz="6" w:space="0" w:color="000000"/>
              <w:right w:val="nil"/>
            </w:tcBorders>
            <w:shd w:val="clear" w:color="auto" w:fill="DEEAF6"/>
            <w:vAlign w:val="center"/>
          </w:tcPr>
          <w:p w:rsidR="0040783B" w:rsidRDefault="0040783B" w:rsidP="00AE7FF4">
            <w:pPr>
              <w:spacing w:line="259" w:lineRule="auto"/>
              <w:ind w:left="156"/>
            </w:pPr>
            <w:r>
              <w:rPr>
                <w:sz w:val="21"/>
              </w:rPr>
              <w:t xml:space="preserve"> </w:t>
            </w:r>
          </w:p>
        </w:tc>
        <w:tc>
          <w:tcPr>
            <w:tcW w:w="1495" w:type="dxa"/>
            <w:gridSpan w:val="2"/>
            <w:tcBorders>
              <w:top w:val="single" w:sz="6" w:space="0" w:color="000000"/>
              <w:left w:val="nil"/>
              <w:bottom w:val="single" w:sz="6" w:space="0" w:color="000000"/>
              <w:right w:val="nil"/>
            </w:tcBorders>
            <w:shd w:val="clear" w:color="auto" w:fill="DEEAF6"/>
            <w:vAlign w:val="center"/>
          </w:tcPr>
          <w:p w:rsidR="0040783B" w:rsidRDefault="0040783B" w:rsidP="00AE7FF4">
            <w:pPr>
              <w:spacing w:line="259" w:lineRule="auto"/>
              <w:ind w:left="156"/>
            </w:pPr>
            <w:r>
              <w:rPr>
                <w:sz w:val="21"/>
              </w:rPr>
              <w:t xml:space="preserve"> </w:t>
            </w:r>
          </w:p>
        </w:tc>
        <w:tc>
          <w:tcPr>
            <w:tcW w:w="1527" w:type="dxa"/>
            <w:gridSpan w:val="2"/>
            <w:tcBorders>
              <w:top w:val="single" w:sz="6" w:space="0" w:color="000000"/>
              <w:left w:val="nil"/>
              <w:bottom w:val="single" w:sz="6" w:space="0" w:color="000000"/>
              <w:right w:val="nil"/>
            </w:tcBorders>
            <w:shd w:val="clear" w:color="auto" w:fill="DEEAF6"/>
            <w:vAlign w:val="center"/>
          </w:tcPr>
          <w:p w:rsidR="0040783B" w:rsidRDefault="0040783B" w:rsidP="00AE7FF4">
            <w:pPr>
              <w:spacing w:line="259" w:lineRule="auto"/>
              <w:ind w:left="156"/>
            </w:pPr>
            <w:r>
              <w:rPr>
                <w:rFonts w:ascii="Calibri" w:eastAsia="Calibri" w:hAnsi="Calibri" w:cs="Calibri"/>
                <w:b/>
                <w:sz w:val="21"/>
              </w:rPr>
              <w:t>X</w:t>
            </w:r>
          </w:p>
        </w:tc>
        <w:tc>
          <w:tcPr>
            <w:tcW w:w="1495" w:type="dxa"/>
            <w:gridSpan w:val="2"/>
            <w:tcBorders>
              <w:top w:val="single" w:sz="6" w:space="0" w:color="000000"/>
              <w:left w:val="nil"/>
              <w:bottom w:val="single" w:sz="6" w:space="0" w:color="000000"/>
              <w:right w:val="nil"/>
            </w:tcBorders>
            <w:shd w:val="clear" w:color="auto" w:fill="DEEAF6"/>
            <w:vAlign w:val="center"/>
          </w:tcPr>
          <w:p w:rsidR="0040783B" w:rsidRDefault="0040783B" w:rsidP="00AE7FF4">
            <w:pPr>
              <w:spacing w:line="259" w:lineRule="auto"/>
              <w:ind w:left="156"/>
            </w:pPr>
            <w:r>
              <w:rPr>
                <w:rFonts w:ascii="Calibri" w:eastAsia="Calibri" w:hAnsi="Calibri" w:cs="Calibri"/>
                <w:b/>
                <w:sz w:val="21"/>
              </w:rPr>
              <w:t>X</w:t>
            </w:r>
          </w:p>
        </w:tc>
        <w:tc>
          <w:tcPr>
            <w:tcW w:w="1443" w:type="dxa"/>
            <w:gridSpan w:val="2"/>
            <w:tcBorders>
              <w:top w:val="single" w:sz="6" w:space="0" w:color="000000"/>
              <w:left w:val="nil"/>
              <w:bottom w:val="single" w:sz="6" w:space="0" w:color="000000"/>
              <w:right w:val="nil"/>
            </w:tcBorders>
            <w:shd w:val="clear" w:color="auto" w:fill="DEEAF6"/>
            <w:vAlign w:val="center"/>
          </w:tcPr>
          <w:p w:rsidR="0040783B" w:rsidRDefault="0040783B" w:rsidP="00AE7FF4">
            <w:pPr>
              <w:spacing w:line="259" w:lineRule="auto"/>
              <w:ind w:left="156"/>
            </w:pPr>
            <w:r>
              <w:rPr>
                <w:sz w:val="21"/>
              </w:rPr>
              <w:t xml:space="preserve"> </w:t>
            </w:r>
          </w:p>
        </w:tc>
      </w:tr>
      <w:tr w:rsidR="0040783B" w:rsidTr="00AE7FF4">
        <w:trPr>
          <w:trHeight w:val="722"/>
        </w:trPr>
        <w:tc>
          <w:tcPr>
            <w:tcW w:w="3074" w:type="dxa"/>
            <w:tcBorders>
              <w:top w:val="single" w:sz="6" w:space="0" w:color="000000"/>
              <w:left w:val="nil"/>
              <w:bottom w:val="single" w:sz="6" w:space="0" w:color="000000"/>
              <w:right w:val="nil"/>
            </w:tcBorders>
            <w:shd w:val="clear" w:color="auto" w:fill="F2F7FB"/>
            <w:vAlign w:val="center"/>
          </w:tcPr>
          <w:p w:rsidR="0040783B" w:rsidRDefault="0040783B" w:rsidP="00AE7FF4">
            <w:pPr>
              <w:spacing w:line="259" w:lineRule="auto"/>
              <w:ind w:left="208" w:right="35"/>
            </w:pPr>
            <w:r>
              <w:rPr>
                <w:rFonts w:ascii="Calibri" w:eastAsia="Calibri" w:hAnsi="Calibri" w:cs="Calibri"/>
                <w:b/>
                <w:sz w:val="21"/>
              </w:rPr>
              <w:t>Блокаторы кальциевого канала*</w:t>
            </w:r>
          </w:p>
        </w:tc>
        <w:tc>
          <w:tcPr>
            <w:tcW w:w="1495" w:type="dxa"/>
            <w:gridSpan w:val="2"/>
            <w:tcBorders>
              <w:top w:val="single" w:sz="6" w:space="0" w:color="000000"/>
              <w:left w:val="nil"/>
              <w:bottom w:val="single" w:sz="6" w:space="0" w:color="000000"/>
              <w:right w:val="nil"/>
            </w:tcBorders>
            <w:shd w:val="clear" w:color="auto" w:fill="F2F7FB"/>
          </w:tcPr>
          <w:p w:rsidR="0040783B" w:rsidRDefault="0040783B" w:rsidP="00AE7FF4">
            <w:pPr>
              <w:spacing w:line="259" w:lineRule="auto"/>
              <w:ind w:left="156"/>
            </w:pPr>
            <w:r>
              <w:rPr>
                <w:rFonts w:ascii="Calibri" w:eastAsia="Calibri" w:hAnsi="Calibri" w:cs="Calibri"/>
                <w:b/>
                <w:sz w:val="21"/>
              </w:rPr>
              <w:t>X</w:t>
            </w:r>
          </w:p>
        </w:tc>
        <w:tc>
          <w:tcPr>
            <w:tcW w:w="1495" w:type="dxa"/>
            <w:gridSpan w:val="2"/>
            <w:tcBorders>
              <w:top w:val="single" w:sz="6" w:space="0" w:color="000000"/>
              <w:left w:val="nil"/>
              <w:bottom w:val="single" w:sz="6" w:space="0" w:color="000000"/>
              <w:right w:val="nil"/>
            </w:tcBorders>
            <w:shd w:val="clear" w:color="auto" w:fill="F2F7FB"/>
          </w:tcPr>
          <w:p w:rsidR="0040783B" w:rsidRDefault="0040783B" w:rsidP="00AE7FF4">
            <w:pPr>
              <w:spacing w:line="259" w:lineRule="auto"/>
              <w:ind w:left="156"/>
            </w:pPr>
            <w:r>
              <w:rPr>
                <w:sz w:val="21"/>
              </w:rPr>
              <w:t xml:space="preserve"> </w:t>
            </w:r>
          </w:p>
        </w:tc>
        <w:tc>
          <w:tcPr>
            <w:tcW w:w="1527" w:type="dxa"/>
            <w:gridSpan w:val="2"/>
            <w:tcBorders>
              <w:top w:val="single" w:sz="6" w:space="0" w:color="000000"/>
              <w:left w:val="nil"/>
              <w:bottom w:val="single" w:sz="6" w:space="0" w:color="000000"/>
              <w:right w:val="nil"/>
            </w:tcBorders>
            <w:shd w:val="clear" w:color="auto" w:fill="F2F7FB"/>
          </w:tcPr>
          <w:p w:rsidR="0040783B" w:rsidRDefault="0040783B" w:rsidP="00AE7FF4">
            <w:pPr>
              <w:spacing w:line="259" w:lineRule="auto"/>
              <w:ind w:left="156"/>
            </w:pPr>
            <w:r>
              <w:rPr>
                <w:rFonts w:ascii="Calibri" w:eastAsia="Calibri" w:hAnsi="Calibri" w:cs="Calibri"/>
                <w:b/>
                <w:sz w:val="21"/>
              </w:rPr>
              <w:t>X</w:t>
            </w:r>
          </w:p>
        </w:tc>
        <w:tc>
          <w:tcPr>
            <w:tcW w:w="1495" w:type="dxa"/>
            <w:gridSpan w:val="2"/>
            <w:tcBorders>
              <w:top w:val="single" w:sz="6" w:space="0" w:color="000000"/>
              <w:left w:val="nil"/>
              <w:bottom w:val="single" w:sz="6" w:space="0" w:color="000000"/>
              <w:right w:val="nil"/>
            </w:tcBorders>
            <w:shd w:val="clear" w:color="auto" w:fill="F2F7FB"/>
          </w:tcPr>
          <w:p w:rsidR="0040783B" w:rsidRDefault="0040783B" w:rsidP="00AE7FF4">
            <w:pPr>
              <w:spacing w:line="259" w:lineRule="auto"/>
              <w:ind w:left="156"/>
            </w:pPr>
            <w:r>
              <w:rPr>
                <w:rFonts w:ascii="Calibri" w:eastAsia="Calibri" w:hAnsi="Calibri" w:cs="Calibri"/>
                <w:b/>
                <w:sz w:val="21"/>
              </w:rPr>
              <w:t>X</w:t>
            </w:r>
          </w:p>
        </w:tc>
        <w:tc>
          <w:tcPr>
            <w:tcW w:w="1443" w:type="dxa"/>
            <w:gridSpan w:val="2"/>
            <w:tcBorders>
              <w:top w:val="single" w:sz="6" w:space="0" w:color="000000"/>
              <w:left w:val="nil"/>
              <w:bottom w:val="single" w:sz="6" w:space="0" w:color="000000"/>
              <w:right w:val="nil"/>
            </w:tcBorders>
            <w:shd w:val="clear" w:color="auto" w:fill="F2F7FB"/>
          </w:tcPr>
          <w:p w:rsidR="0040783B" w:rsidRDefault="0040783B" w:rsidP="00AE7FF4">
            <w:pPr>
              <w:spacing w:line="259" w:lineRule="auto"/>
              <w:ind w:left="156"/>
            </w:pPr>
            <w:r>
              <w:rPr>
                <w:sz w:val="21"/>
              </w:rPr>
              <w:t xml:space="preserve"> </w:t>
            </w:r>
          </w:p>
        </w:tc>
      </w:tr>
      <w:tr w:rsidR="0040783B" w:rsidTr="00AE7FF4">
        <w:trPr>
          <w:trHeight w:val="472"/>
        </w:trPr>
        <w:tc>
          <w:tcPr>
            <w:tcW w:w="3074" w:type="dxa"/>
            <w:tcBorders>
              <w:top w:val="single" w:sz="6" w:space="0" w:color="000000"/>
              <w:left w:val="nil"/>
              <w:bottom w:val="single" w:sz="6" w:space="0" w:color="000000"/>
              <w:right w:val="nil"/>
            </w:tcBorders>
            <w:shd w:val="clear" w:color="auto" w:fill="DEEAF6"/>
            <w:vAlign w:val="center"/>
          </w:tcPr>
          <w:p w:rsidR="0040783B" w:rsidRDefault="0040783B" w:rsidP="00AE7FF4">
            <w:pPr>
              <w:spacing w:line="259" w:lineRule="auto"/>
              <w:ind w:left="208"/>
            </w:pPr>
            <w:r>
              <w:rPr>
                <w:rFonts w:ascii="Calibri" w:eastAsia="Calibri" w:hAnsi="Calibri" w:cs="Calibri"/>
                <w:b/>
                <w:sz w:val="21"/>
              </w:rPr>
              <w:t>Цисаприд</w:t>
            </w:r>
          </w:p>
        </w:tc>
        <w:tc>
          <w:tcPr>
            <w:tcW w:w="1495" w:type="dxa"/>
            <w:gridSpan w:val="2"/>
            <w:tcBorders>
              <w:top w:val="single" w:sz="6" w:space="0" w:color="000000"/>
              <w:left w:val="nil"/>
              <w:bottom w:val="single" w:sz="6" w:space="0" w:color="000000"/>
              <w:right w:val="nil"/>
            </w:tcBorders>
            <w:shd w:val="clear" w:color="auto" w:fill="DEEAF6"/>
            <w:vAlign w:val="center"/>
          </w:tcPr>
          <w:p w:rsidR="0040783B" w:rsidRDefault="0040783B" w:rsidP="00AE7FF4">
            <w:pPr>
              <w:spacing w:line="259" w:lineRule="auto"/>
              <w:ind w:left="156"/>
            </w:pPr>
            <w:r>
              <w:rPr>
                <w:sz w:val="21"/>
              </w:rPr>
              <w:t xml:space="preserve"> </w:t>
            </w:r>
          </w:p>
        </w:tc>
        <w:tc>
          <w:tcPr>
            <w:tcW w:w="1495" w:type="dxa"/>
            <w:gridSpan w:val="2"/>
            <w:tcBorders>
              <w:top w:val="single" w:sz="6" w:space="0" w:color="000000"/>
              <w:left w:val="nil"/>
              <w:bottom w:val="single" w:sz="6" w:space="0" w:color="000000"/>
              <w:right w:val="nil"/>
            </w:tcBorders>
            <w:shd w:val="clear" w:color="auto" w:fill="DEEAF6"/>
            <w:vAlign w:val="center"/>
          </w:tcPr>
          <w:p w:rsidR="0040783B" w:rsidRDefault="0040783B" w:rsidP="00AE7FF4">
            <w:pPr>
              <w:spacing w:line="259" w:lineRule="auto"/>
              <w:ind w:left="156"/>
            </w:pPr>
            <w:r>
              <w:rPr>
                <w:sz w:val="21"/>
              </w:rPr>
              <w:t xml:space="preserve"> </w:t>
            </w:r>
          </w:p>
        </w:tc>
        <w:tc>
          <w:tcPr>
            <w:tcW w:w="1527" w:type="dxa"/>
            <w:gridSpan w:val="2"/>
            <w:tcBorders>
              <w:top w:val="single" w:sz="6" w:space="0" w:color="000000"/>
              <w:left w:val="nil"/>
              <w:bottom w:val="single" w:sz="6" w:space="0" w:color="000000"/>
              <w:right w:val="nil"/>
            </w:tcBorders>
            <w:shd w:val="clear" w:color="auto" w:fill="DEEAF6"/>
            <w:vAlign w:val="center"/>
          </w:tcPr>
          <w:p w:rsidR="0040783B" w:rsidRDefault="0040783B" w:rsidP="00AE7FF4">
            <w:pPr>
              <w:spacing w:line="259" w:lineRule="auto"/>
              <w:ind w:left="156"/>
            </w:pPr>
            <w:r>
              <w:rPr>
                <w:rFonts w:ascii="Calibri" w:eastAsia="Calibri" w:hAnsi="Calibri" w:cs="Calibri"/>
                <w:b/>
                <w:sz w:val="21"/>
              </w:rPr>
              <w:t>X</w:t>
            </w:r>
          </w:p>
        </w:tc>
        <w:tc>
          <w:tcPr>
            <w:tcW w:w="1495" w:type="dxa"/>
            <w:gridSpan w:val="2"/>
            <w:tcBorders>
              <w:top w:val="single" w:sz="6" w:space="0" w:color="000000"/>
              <w:left w:val="nil"/>
              <w:bottom w:val="single" w:sz="6" w:space="0" w:color="000000"/>
              <w:right w:val="nil"/>
            </w:tcBorders>
            <w:shd w:val="clear" w:color="auto" w:fill="DEEAF6"/>
            <w:vAlign w:val="center"/>
          </w:tcPr>
          <w:p w:rsidR="0040783B" w:rsidRDefault="0040783B" w:rsidP="00AE7FF4">
            <w:pPr>
              <w:spacing w:line="259" w:lineRule="auto"/>
              <w:ind w:left="156"/>
            </w:pPr>
            <w:r>
              <w:rPr>
                <w:rFonts w:ascii="Calibri" w:eastAsia="Calibri" w:hAnsi="Calibri" w:cs="Calibri"/>
                <w:b/>
                <w:sz w:val="21"/>
              </w:rPr>
              <w:t>X</w:t>
            </w:r>
          </w:p>
        </w:tc>
        <w:tc>
          <w:tcPr>
            <w:tcW w:w="1443" w:type="dxa"/>
            <w:gridSpan w:val="2"/>
            <w:tcBorders>
              <w:top w:val="single" w:sz="6" w:space="0" w:color="000000"/>
              <w:left w:val="nil"/>
              <w:bottom w:val="single" w:sz="6" w:space="0" w:color="000000"/>
              <w:right w:val="nil"/>
            </w:tcBorders>
            <w:shd w:val="clear" w:color="auto" w:fill="DEEAF6"/>
            <w:vAlign w:val="center"/>
          </w:tcPr>
          <w:p w:rsidR="0040783B" w:rsidRDefault="0040783B" w:rsidP="00AE7FF4">
            <w:pPr>
              <w:spacing w:line="259" w:lineRule="auto"/>
              <w:ind w:left="156"/>
            </w:pPr>
            <w:r>
              <w:rPr>
                <w:sz w:val="21"/>
              </w:rPr>
              <w:t xml:space="preserve"> </w:t>
            </w:r>
          </w:p>
        </w:tc>
      </w:tr>
      <w:tr w:rsidR="0040783B" w:rsidTr="00AE7FF4">
        <w:trPr>
          <w:trHeight w:val="472"/>
        </w:trPr>
        <w:tc>
          <w:tcPr>
            <w:tcW w:w="3074" w:type="dxa"/>
            <w:tcBorders>
              <w:top w:val="single" w:sz="6" w:space="0" w:color="000000"/>
              <w:left w:val="nil"/>
              <w:bottom w:val="single" w:sz="6" w:space="0" w:color="000000"/>
              <w:right w:val="nil"/>
            </w:tcBorders>
            <w:shd w:val="clear" w:color="auto" w:fill="F2F7FB"/>
            <w:vAlign w:val="center"/>
          </w:tcPr>
          <w:p w:rsidR="0040783B" w:rsidRDefault="0040783B" w:rsidP="00AE7FF4">
            <w:pPr>
              <w:spacing w:line="259" w:lineRule="auto"/>
              <w:ind w:left="208"/>
            </w:pPr>
            <w:r>
              <w:rPr>
                <w:rFonts w:ascii="Calibri" w:eastAsia="Calibri" w:hAnsi="Calibri" w:cs="Calibri"/>
                <w:b/>
                <w:sz w:val="21"/>
              </w:rPr>
              <w:t>Дигоксин</w:t>
            </w:r>
          </w:p>
        </w:tc>
        <w:tc>
          <w:tcPr>
            <w:tcW w:w="1495" w:type="dxa"/>
            <w:gridSpan w:val="2"/>
            <w:tcBorders>
              <w:top w:val="single" w:sz="6" w:space="0" w:color="000000"/>
              <w:left w:val="nil"/>
              <w:bottom w:val="single" w:sz="6" w:space="0" w:color="000000"/>
              <w:right w:val="nil"/>
            </w:tcBorders>
            <w:shd w:val="clear" w:color="auto" w:fill="F2F7FB"/>
            <w:vAlign w:val="center"/>
          </w:tcPr>
          <w:p w:rsidR="0040783B" w:rsidRDefault="0040783B" w:rsidP="00AE7FF4">
            <w:pPr>
              <w:spacing w:line="259" w:lineRule="auto"/>
              <w:ind w:left="156"/>
            </w:pPr>
            <w:r>
              <w:rPr>
                <w:rFonts w:ascii="Calibri" w:eastAsia="Calibri" w:hAnsi="Calibri" w:cs="Calibri"/>
                <w:b/>
                <w:sz w:val="21"/>
              </w:rPr>
              <w:t>X</w:t>
            </w:r>
          </w:p>
        </w:tc>
        <w:tc>
          <w:tcPr>
            <w:tcW w:w="1495" w:type="dxa"/>
            <w:gridSpan w:val="2"/>
            <w:tcBorders>
              <w:top w:val="single" w:sz="6" w:space="0" w:color="000000"/>
              <w:left w:val="nil"/>
              <w:bottom w:val="single" w:sz="6" w:space="0" w:color="000000"/>
              <w:right w:val="nil"/>
            </w:tcBorders>
            <w:shd w:val="clear" w:color="auto" w:fill="F2F7FB"/>
            <w:vAlign w:val="center"/>
          </w:tcPr>
          <w:p w:rsidR="0040783B" w:rsidRDefault="0040783B" w:rsidP="00AE7FF4">
            <w:pPr>
              <w:spacing w:line="259" w:lineRule="auto"/>
              <w:ind w:left="156"/>
            </w:pPr>
            <w:r>
              <w:rPr>
                <w:rFonts w:ascii="Calibri" w:eastAsia="Calibri" w:hAnsi="Calibri" w:cs="Calibri"/>
                <w:b/>
                <w:sz w:val="21"/>
              </w:rPr>
              <w:t>X</w:t>
            </w:r>
          </w:p>
        </w:tc>
        <w:tc>
          <w:tcPr>
            <w:tcW w:w="1527" w:type="dxa"/>
            <w:gridSpan w:val="2"/>
            <w:tcBorders>
              <w:top w:val="single" w:sz="6" w:space="0" w:color="000000"/>
              <w:left w:val="nil"/>
              <w:bottom w:val="single" w:sz="6" w:space="0" w:color="000000"/>
              <w:right w:val="nil"/>
            </w:tcBorders>
            <w:shd w:val="clear" w:color="auto" w:fill="F2F7FB"/>
            <w:vAlign w:val="center"/>
          </w:tcPr>
          <w:p w:rsidR="0040783B" w:rsidRDefault="0040783B" w:rsidP="00AE7FF4">
            <w:pPr>
              <w:spacing w:line="259" w:lineRule="auto"/>
              <w:ind w:left="156"/>
            </w:pPr>
            <w:r>
              <w:rPr>
                <w:sz w:val="21"/>
              </w:rPr>
              <w:t xml:space="preserve"> </w:t>
            </w:r>
          </w:p>
        </w:tc>
        <w:tc>
          <w:tcPr>
            <w:tcW w:w="1495" w:type="dxa"/>
            <w:gridSpan w:val="2"/>
            <w:tcBorders>
              <w:top w:val="single" w:sz="6" w:space="0" w:color="000000"/>
              <w:left w:val="nil"/>
              <w:bottom w:val="single" w:sz="6" w:space="0" w:color="000000"/>
              <w:right w:val="nil"/>
            </w:tcBorders>
            <w:shd w:val="clear" w:color="auto" w:fill="F2F7FB"/>
            <w:vAlign w:val="center"/>
          </w:tcPr>
          <w:p w:rsidR="0040783B" w:rsidRDefault="0040783B" w:rsidP="00AE7FF4">
            <w:pPr>
              <w:spacing w:line="259" w:lineRule="auto"/>
              <w:ind w:left="156"/>
            </w:pPr>
            <w:r>
              <w:rPr>
                <w:rFonts w:ascii="Calibri" w:eastAsia="Calibri" w:hAnsi="Calibri" w:cs="Calibri"/>
                <w:b/>
                <w:sz w:val="21"/>
              </w:rPr>
              <w:t>X</w:t>
            </w:r>
          </w:p>
        </w:tc>
        <w:tc>
          <w:tcPr>
            <w:tcW w:w="1443" w:type="dxa"/>
            <w:gridSpan w:val="2"/>
            <w:tcBorders>
              <w:top w:val="single" w:sz="6" w:space="0" w:color="000000"/>
              <w:left w:val="nil"/>
              <w:bottom w:val="single" w:sz="6" w:space="0" w:color="000000"/>
              <w:right w:val="nil"/>
            </w:tcBorders>
            <w:shd w:val="clear" w:color="auto" w:fill="F2F7FB"/>
            <w:vAlign w:val="center"/>
          </w:tcPr>
          <w:p w:rsidR="0040783B" w:rsidRDefault="0040783B" w:rsidP="00AE7FF4">
            <w:pPr>
              <w:spacing w:line="259" w:lineRule="auto"/>
              <w:ind w:left="156"/>
            </w:pPr>
            <w:r>
              <w:rPr>
                <w:sz w:val="21"/>
              </w:rPr>
              <w:t xml:space="preserve"> </w:t>
            </w:r>
          </w:p>
        </w:tc>
      </w:tr>
      <w:tr w:rsidR="0040783B" w:rsidTr="00AE7FF4">
        <w:trPr>
          <w:trHeight w:val="472"/>
        </w:trPr>
        <w:tc>
          <w:tcPr>
            <w:tcW w:w="3074" w:type="dxa"/>
            <w:tcBorders>
              <w:top w:val="single" w:sz="6" w:space="0" w:color="000000"/>
              <w:left w:val="nil"/>
              <w:bottom w:val="single" w:sz="6" w:space="0" w:color="000000"/>
              <w:right w:val="nil"/>
            </w:tcBorders>
            <w:shd w:val="clear" w:color="auto" w:fill="DEEAF6"/>
            <w:vAlign w:val="center"/>
          </w:tcPr>
          <w:p w:rsidR="0040783B" w:rsidRDefault="0040783B" w:rsidP="00AE7FF4">
            <w:pPr>
              <w:spacing w:line="259" w:lineRule="auto"/>
              <w:ind w:left="208"/>
            </w:pPr>
            <w:r>
              <w:rPr>
                <w:rFonts w:ascii="Calibri" w:eastAsia="Calibri" w:hAnsi="Calibri" w:cs="Calibri"/>
                <w:b/>
                <w:sz w:val="21"/>
              </w:rPr>
              <w:t>Производные спорыньи</w:t>
            </w:r>
          </w:p>
        </w:tc>
        <w:tc>
          <w:tcPr>
            <w:tcW w:w="1495" w:type="dxa"/>
            <w:gridSpan w:val="2"/>
            <w:tcBorders>
              <w:top w:val="single" w:sz="6" w:space="0" w:color="000000"/>
              <w:left w:val="nil"/>
              <w:bottom w:val="single" w:sz="6" w:space="0" w:color="000000"/>
              <w:right w:val="nil"/>
            </w:tcBorders>
            <w:shd w:val="clear" w:color="auto" w:fill="DEEAF6"/>
            <w:vAlign w:val="center"/>
          </w:tcPr>
          <w:p w:rsidR="0040783B" w:rsidRDefault="0040783B" w:rsidP="00AE7FF4">
            <w:pPr>
              <w:spacing w:line="259" w:lineRule="auto"/>
              <w:ind w:left="156"/>
            </w:pPr>
            <w:r>
              <w:rPr>
                <w:sz w:val="21"/>
              </w:rPr>
              <w:t xml:space="preserve"> </w:t>
            </w:r>
          </w:p>
        </w:tc>
        <w:tc>
          <w:tcPr>
            <w:tcW w:w="1495" w:type="dxa"/>
            <w:gridSpan w:val="2"/>
            <w:tcBorders>
              <w:top w:val="single" w:sz="6" w:space="0" w:color="000000"/>
              <w:left w:val="nil"/>
              <w:bottom w:val="single" w:sz="6" w:space="0" w:color="000000"/>
              <w:right w:val="nil"/>
            </w:tcBorders>
            <w:shd w:val="clear" w:color="auto" w:fill="DEEAF6"/>
            <w:vAlign w:val="center"/>
          </w:tcPr>
          <w:p w:rsidR="0040783B" w:rsidRDefault="0040783B" w:rsidP="00AE7FF4">
            <w:pPr>
              <w:spacing w:line="259" w:lineRule="auto"/>
              <w:ind w:left="156"/>
            </w:pPr>
            <w:r>
              <w:rPr>
                <w:sz w:val="21"/>
              </w:rPr>
              <w:t xml:space="preserve"> </w:t>
            </w:r>
          </w:p>
        </w:tc>
        <w:tc>
          <w:tcPr>
            <w:tcW w:w="1527" w:type="dxa"/>
            <w:gridSpan w:val="2"/>
            <w:tcBorders>
              <w:top w:val="single" w:sz="6" w:space="0" w:color="000000"/>
              <w:left w:val="nil"/>
              <w:bottom w:val="single" w:sz="6" w:space="0" w:color="000000"/>
              <w:right w:val="nil"/>
            </w:tcBorders>
            <w:shd w:val="clear" w:color="auto" w:fill="DEEAF6"/>
            <w:vAlign w:val="center"/>
          </w:tcPr>
          <w:p w:rsidR="0040783B" w:rsidRDefault="0040783B" w:rsidP="00AE7FF4">
            <w:pPr>
              <w:spacing w:line="259" w:lineRule="auto"/>
              <w:ind w:left="156"/>
            </w:pPr>
            <w:r>
              <w:rPr>
                <w:rFonts w:ascii="Calibri" w:eastAsia="Calibri" w:hAnsi="Calibri" w:cs="Calibri"/>
                <w:b/>
                <w:sz w:val="21"/>
              </w:rPr>
              <w:t>X</w:t>
            </w:r>
          </w:p>
        </w:tc>
        <w:tc>
          <w:tcPr>
            <w:tcW w:w="1495" w:type="dxa"/>
            <w:gridSpan w:val="2"/>
            <w:tcBorders>
              <w:top w:val="single" w:sz="6" w:space="0" w:color="000000"/>
              <w:left w:val="nil"/>
              <w:bottom w:val="single" w:sz="6" w:space="0" w:color="000000"/>
              <w:right w:val="nil"/>
            </w:tcBorders>
            <w:shd w:val="clear" w:color="auto" w:fill="DEEAF6"/>
            <w:vAlign w:val="center"/>
          </w:tcPr>
          <w:p w:rsidR="0040783B" w:rsidRDefault="0040783B" w:rsidP="00AE7FF4">
            <w:pPr>
              <w:spacing w:line="259" w:lineRule="auto"/>
              <w:ind w:left="156"/>
            </w:pPr>
            <w:r>
              <w:rPr>
                <w:sz w:val="21"/>
              </w:rPr>
              <w:t xml:space="preserve"> </w:t>
            </w:r>
          </w:p>
        </w:tc>
        <w:tc>
          <w:tcPr>
            <w:tcW w:w="1443" w:type="dxa"/>
            <w:gridSpan w:val="2"/>
            <w:tcBorders>
              <w:top w:val="single" w:sz="6" w:space="0" w:color="000000"/>
              <w:left w:val="nil"/>
              <w:bottom w:val="single" w:sz="6" w:space="0" w:color="000000"/>
              <w:right w:val="nil"/>
            </w:tcBorders>
            <w:shd w:val="clear" w:color="auto" w:fill="DEEAF6"/>
            <w:vAlign w:val="center"/>
          </w:tcPr>
          <w:p w:rsidR="0040783B" w:rsidRDefault="0040783B" w:rsidP="00AE7FF4">
            <w:pPr>
              <w:spacing w:line="259" w:lineRule="auto"/>
              <w:ind w:left="156"/>
            </w:pPr>
            <w:r>
              <w:rPr>
                <w:sz w:val="21"/>
              </w:rPr>
              <w:t xml:space="preserve"> </w:t>
            </w:r>
          </w:p>
        </w:tc>
      </w:tr>
      <w:tr w:rsidR="0040783B" w:rsidTr="00AE7FF4">
        <w:trPr>
          <w:trHeight w:val="971"/>
        </w:trPr>
        <w:tc>
          <w:tcPr>
            <w:tcW w:w="3074" w:type="dxa"/>
            <w:tcBorders>
              <w:top w:val="single" w:sz="6" w:space="0" w:color="000000"/>
              <w:left w:val="nil"/>
              <w:bottom w:val="single" w:sz="6" w:space="0" w:color="000000"/>
              <w:right w:val="nil"/>
            </w:tcBorders>
            <w:shd w:val="clear" w:color="auto" w:fill="F2F7FB"/>
            <w:vAlign w:val="center"/>
          </w:tcPr>
          <w:p w:rsidR="0040783B" w:rsidRDefault="0040783B" w:rsidP="00AE7FF4">
            <w:pPr>
              <w:spacing w:line="259" w:lineRule="auto"/>
              <w:ind w:left="208"/>
            </w:pPr>
            <w:r>
              <w:rPr>
                <w:rFonts w:ascii="Calibri" w:eastAsia="Calibri" w:hAnsi="Calibri" w:cs="Calibri"/>
                <w:b/>
                <w:sz w:val="21"/>
              </w:rPr>
              <w:t>Ethinyl</w:t>
            </w:r>
          </w:p>
          <w:p w:rsidR="0040783B" w:rsidRDefault="0040783B" w:rsidP="00AE7FF4">
            <w:pPr>
              <w:spacing w:line="259" w:lineRule="auto"/>
              <w:ind w:left="208"/>
            </w:pPr>
            <w:r>
              <w:rPr>
                <w:rFonts w:ascii="Calibri" w:eastAsia="Calibri" w:hAnsi="Calibri" w:cs="Calibri"/>
                <w:b/>
                <w:sz w:val="21"/>
              </w:rPr>
              <w:t>содержащие эстрадиол продукты</w:t>
            </w:r>
          </w:p>
        </w:tc>
        <w:tc>
          <w:tcPr>
            <w:tcW w:w="1495" w:type="dxa"/>
            <w:gridSpan w:val="2"/>
            <w:tcBorders>
              <w:top w:val="single" w:sz="6" w:space="0" w:color="000000"/>
              <w:left w:val="nil"/>
              <w:bottom w:val="single" w:sz="6" w:space="0" w:color="000000"/>
              <w:right w:val="nil"/>
            </w:tcBorders>
            <w:shd w:val="clear" w:color="auto" w:fill="F2F7FB"/>
          </w:tcPr>
          <w:p w:rsidR="0040783B" w:rsidRDefault="0040783B" w:rsidP="00AE7FF4">
            <w:pPr>
              <w:spacing w:line="259" w:lineRule="auto"/>
              <w:ind w:left="156"/>
            </w:pPr>
            <w:r>
              <w:rPr>
                <w:sz w:val="21"/>
              </w:rPr>
              <w:t xml:space="preserve"> </w:t>
            </w:r>
          </w:p>
        </w:tc>
        <w:tc>
          <w:tcPr>
            <w:tcW w:w="1495" w:type="dxa"/>
            <w:gridSpan w:val="2"/>
            <w:tcBorders>
              <w:top w:val="single" w:sz="6" w:space="0" w:color="000000"/>
              <w:left w:val="nil"/>
              <w:bottom w:val="single" w:sz="6" w:space="0" w:color="000000"/>
              <w:right w:val="nil"/>
            </w:tcBorders>
            <w:shd w:val="clear" w:color="auto" w:fill="F2F7FB"/>
          </w:tcPr>
          <w:p w:rsidR="0040783B" w:rsidRDefault="0040783B" w:rsidP="00AE7FF4">
            <w:pPr>
              <w:spacing w:line="259" w:lineRule="auto"/>
              <w:ind w:left="156"/>
            </w:pPr>
            <w:r>
              <w:rPr>
                <w:sz w:val="21"/>
              </w:rPr>
              <w:t xml:space="preserve"> </w:t>
            </w:r>
          </w:p>
        </w:tc>
        <w:tc>
          <w:tcPr>
            <w:tcW w:w="1527" w:type="dxa"/>
            <w:gridSpan w:val="2"/>
            <w:tcBorders>
              <w:top w:val="single" w:sz="6" w:space="0" w:color="000000"/>
              <w:left w:val="nil"/>
              <w:bottom w:val="single" w:sz="6" w:space="0" w:color="000000"/>
              <w:right w:val="nil"/>
            </w:tcBorders>
            <w:shd w:val="clear" w:color="auto" w:fill="F2F7FB"/>
          </w:tcPr>
          <w:p w:rsidR="0040783B" w:rsidRDefault="0040783B" w:rsidP="00AE7FF4">
            <w:pPr>
              <w:spacing w:line="259" w:lineRule="auto"/>
              <w:ind w:left="156"/>
            </w:pPr>
            <w:r>
              <w:rPr>
                <w:rFonts w:ascii="Calibri" w:eastAsia="Calibri" w:hAnsi="Calibri" w:cs="Calibri"/>
                <w:b/>
                <w:sz w:val="21"/>
              </w:rPr>
              <w:t>X</w:t>
            </w:r>
          </w:p>
        </w:tc>
        <w:tc>
          <w:tcPr>
            <w:tcW w:w="1495" w:type="dxa"/>
            <w:gridSpan w:val="2"/>
            <w:tcBorders>
              <w:top w:val="single" w:sz="6" w:space="0" w:color="000000"/>
              <w:left w:val="nil"/>
              <w:bottom w:val="single" w:sz="6" w:space="0" w:color="000000"/>
              <w:right w:val="nil"/>
            </w:tcBorders>
            <w:shd w:val="clear" w:color="auto" w:fill="F2F7FB"/>
          </w:tcPr>
          <w:p w:rsidR="0040783B" w:rsidRDefault="0040783B" w:rsidP="00AE7FF4">
            <w:pPr>
              <w:spacing w:line="259" w:lineRule="auto"/>
              <w:ind w:left="156"/>
            </w:pPr>
            <w:r>
              <w:rPr>
                <w:sz w:val="21"/>
              </w:rPr>
              <w:t xml:space="preserve"> </w:t>
            </w:r>
          </w:p>
        </w:tc>
        <w:tc>
          <w:tcPr>
            <w:tcW w:w="1443" w:type="dxa"/>
            <w:gridSpan w:val="2"/>
            <w:tcBorders>
              <w:top w:val="single" w:sz="6" w:space="0" w:color="000000"/>
              <w:left w:val="nil"/>
              <w:bottom w:val="single" w:sz="6" w:space="0" w:color="000000"/>
              <w:right w:val="nil"/>
            </w:tcBorders>
            <w:shd w:val="clear" w:color="auto" w:fill="F2F7FB"/>
          </w:tcPr>
          <w:p w:rsidR="0040783B" w:rsidRDefault="0040783B" w:rsidP="00AE7FF4">
            <w:pPr>
              <w:spacing w:line="259" w:lineRule="auto"/>
              <w:ind w:left="156"/>
            </w:pPr>
            <w:r>
              <w:rPr>
                <w:sz w:val="21"/>
              </w:rPr>
              <w:t xml:space="preserve"> </w:t>
            </w:r>
          </w:p>
        </w:tc>
      </w:tr>
      <w:tr w:rsidR="0040783B" w:rsidTr="00AE7FF4">
        <w:trPr>
          <w:trHeight w:val="472"/>
        </w:trPr>
        <w:tc>
          <w:tcPr>
            <w:tcW w:w="3074" w:type="dxa"/>
            <w:tcBorders>
              <w:top w:val="single" w:sz="6" w:space="0" w:color="000000"/>
              <w:left w:val="nil"/>
              <w:bottom w:val="single" w:sz="6" w:space="0" w:color="000000"/>
              <w:right w:val="nil"/>
            </w:tcBorders>
            <w:shd w:val="clear" w:color="auto" w:fill="DEEAF6"/>
            <w:vAlign w:val="center"/>
          </w:tcPr>
          <w:p w:rsidR="0040783B" w:rsidRDefault="0040783B" w:rsidP="00AE7FF4">
            <w:pPr>
              <w:spacing w:line="259" w:lineRule="auto"/>
              <w:ind w:left="208"/>
            </w:pPr>
            <w:r>
              <w:rPr>
                <w:rFonts w:ascii="Calibri" w:eastAsia="Calibri" w:hAnsi="Calibri" w:cs="Calibri"/>
                <w:b/>
                <w:sz w:val="21"/>
              </w:rPr>
              <w:t>Фуросемид</w:t>
            </w:r>
          </w:p>
        </w:tc>
        <w:tc>
          <w:tcPr>
            <w:tcW w:w="1495" w:type="dxa"/>
            <w:gridSpan w:val="2"/>
            <w:tcBorders>
              <w:top w:val="single" w:sz="6" w:space="0" w:color="000000"/>
              <w:left w:val="nil"/>
              <w:bottom w:val="single" w:sz="6" w:space="0" w:color="000000"/>
              <w:right w:val="nil"/>
            </w:tcBorders>
            <w:shd w:val="clear" w:color="auto" w:fill="DEEAF6"/>
            <w:vAlign w:val="center"/>
          </w:tcPr>
          <w:p w:rsidR="0040783B" w:rsidRDefault="0040783B" w:rsidP="00AE7FF4">
            <w:pPr>
              <w:spacing w:line="259" w:lineRule="auto"/>
              <w:ind w:left="156"/>
            </w:pPr>
            <w:r>
              <w:rPr>
                <w:sz w:val="21"/>
              </w:rPr>
              <w:t xml:space="preserve"> </w:t>
            </w:r>
          </w:p>
        </w:tc>
        <w:tc>
          <w:tcPr>
            <w:tcW w:w="1495" w:type="dxa"/>
            <w:gridSpan w:val="2"/>
            <w:tcBorders>
              <w:top w:val="single" w:sz="6" w:space="0" w:color="000000"/>
              <w:left w:val="nil"/>
              <w:bottom w:val="single" w:sz="6" w:space="0" w:color="000000"/>
              <w:right w:val="nil"/>
            </w:tcBorders>
            <w:shd w:val="clear" w:color="auto" w:fill="DEEAF6"/>
            <w:vAlign w:val="center"/>
          </w:tcPr>
          <w:p w:rsidR="0040783B" w:rsidRDefault="0040783B" w:rsidP="00AE7FF4">
            <w:pPr>
              <w:spacing w:line="259" w:lineRule="auto"/>
              <w:ind w:left="156"/>
            </w:pPr>
            <w:r>
              <w:rPr>
                <w:sz w:val="21"/>
              </w:rPr>
              <w:t xml:space="preserve"> </w:t>
            </w:r>
          </w:p>
        </w:tc>
        <w:tc>
          <w:tcPr>
            <w:tcW w:w="1527" w:type="dxa"/>
            <w:gridSpan w:val="2"/>
            <w:tcBorders>
              <w:top w:val="single" w:sz="6" w:space="0" w:color="000000"/>
              <w:left w:val="nil"/>
              <w:bottom w:val="single" w:sz="6" w:space="0" w:color="000000"/>
              <w:right w:val="nil"/>
            </w:tcBorders>
            <w:shd w:val="clear" w:color="auto" w:fill="DEEAF6"/>
            <w:vAlign w:val="center"/>
          </w:tcPr>
          <w:p w:rsidR="0040783B" w:rsidRDefault="0040783B" w:rsidP="00AE7FF4">
            <w:pPr>
              <w:spacing w:line="259" w:lineRule="auto"/>
              <w:ind w:left="156"/>
            </w:pPr>
            <w:r>
              <w:rPr>
                <w:rFonts w:ascii="Calibri" w:eastAsia="Calibri" w:hAnsi="Calibri" w:cs="Calibri"/>
                <w:b/>
                <w:sz w:val="21"/>
              </w:rPr>
              <w:t>X</w:t>
            </w:r>
          </w:p>
        </w:tc>
        <w:tc>
          <w:tcPr>
            <w:tcW w:w="1495" w:type="dxa"/>
            <w:gridSpan w:val="2"/>
            <w:tcBorders>
              <w:top w:val="single" w:sz="6" w:space="0" w:color="000000"/>
              <w:left w:val="nil"/>
              <w:bottom w:val="single" w:sz="6" w:space="0" w:color="000000"/>
              <w:right w:val="nil"/>
            </w:tcBorders>
            <w:shd w:val="clear" w:color="auto" w:fill="DEEAF6"/>
            <w:vAlign w:val="center"/>
          </w:tcPr>
          <w:p w:rsidR="0040783B" w:rsidRDefault="0040783B" w:rsidP="00AE7FF4">
            <w:pPr>
              <w:spacing w:line="259" w:lineRule="auto"/>
              <w:ind w:left="156"/>
            </w:pPr>
            <w:r>
              <w:rPr>
                <w:sz w:val="21"/>
              </w:rPr>
              <w:t xml:space="preserve"> </w:t>
            </w:r>
          </w:p>
        </w:tc>
        <w:tc>
          <w:tcPr>
            <w:tcW w:w="1443" w:type="dxa"/>
            <w:gridSpan w:val="2"/>
            <w:tcBorders>
              <w:top w:val="single" w:sz="6" w:space="0" w:color="000000"/>
              <w:left w:val="nil"/>
              <w:bottom w:val="single" w:sz="6" w:space="0" w:color="000000"/>
              <w:right w:val="nil"/>
            </w:tcBorders>
            <w:shd w:val="clear" w:color="auto" w:fill="DEEAF6"/>
            <w:vAlign w:val="center"/>
          </w:tcPr>
          <w:p w:rsidR="0040783B" w:rsidRDefault="0040783B" w:rsidP="00AE7FF4">
            <w:pPr>
              <w:spacing w:line="259" w:lineRule="auto"/>
              <w:ind w:left="156"/>
            </w:pPr>
            <w:r>
              <w:rPr>
                <w:sz w:val="21"/>
              </w:rPr>
              <w:t xml:space="preserve"> </w:t>
            </w:r>
          </w:p>
        </w:tc>
      </w:tr>
      <w:tr w:rsidR="0040783B" w:rsidTr="00AE7FF4">
        <w:trPr>
          <w:trHeight w:val="472"/>
        </w:trPr>
        <w:tc>
          <w:tcPr>
            <w:tcW w:w="3074" w:type="dxa"/>
            <w:tcBorders>
              <w:top w:val="single" w:sz="6" w:space="0" w:color="000000"/>
              <w:left w:val="nil"/>
              <w:bottom w:val="single" w:sz="6" w:space="0" w:color="000000"/>
              <w:right w:val="nil"/>
            </w:tcBorders>
            <w:shd w:val="clear" w:color="auto" w:fill="F2F7FB"/>
            <w:vAlign w:val="center"/>
          </w:tcPr>
          <w:p w:rsidR="0040783B" w:rsidRDefault="0040783B" w:rsidP="00AE7FF4">
            <w:pPr>
              <w:spacing w:line="259" w:lineRule="auto"/>
              <w:ind w:left="208"/>
            </w:pPr>
            <w:r>
              <w:rPr>
                <w:rFonts w:ascii="Calibri" w:eastAsia="Calibri" w:hAnsi="Calibri" w:cs="Calibri"/>
                <w:b/>
                <w:sz w:val="21"/>
              </w:rPr>
              <w:t>Gemfibrozil</w:t>
            </w:r>
          </w:p>
        </w:tc>
        <w:tc>
          <w:tcPr>
            <w:tcW w:w="1495" w:type="dxa"/>
            <w:gridSpan w:val="2"/>
            <w:tcBorders>
              <w:top w:val="single" w:sz="6" w:space="0" w:color="000000"/>
              <w:left w:val="nil"/>
              <w:bottom w:val="single" w:sz="6" w:space="0" w:color="000000"/>
              <w:right w:val="nil"/>
            </w:tcBorders>
            <w:shd w:val="clear" w:color="auto" w:fill="F2F7FB"/>
            <w:vAlign w:val="center"/>
          </w:tcPr>
          <w:p w:rsidR="0040783B" w:rsidRDefault="0040783B" w:rsidP="00AE7FF4">
            <w:pPr>
              <w:spacing w:line="259" w:lineRule="auto"/>
              <w:ind w:left="156"/>
            </w:pPr>
            <w:r>
              <w:rPr>
                <w:sz w:val="21"/>
              </w:rPr>
              <w:t xml:space="preserve"> </w:t>
            </w:r>
          </w:p>
        </w:tc>
        <w:tc>
          <w:tcPr>
            <w:tcW w:w="1495" w:type="dxa"/>
            <w:gridSpan w:val="2"/>
            <w:tcBorders>
              <w:top w:val="single" w:sz="6" w:space="0" w:color="000000"/>
              <w:left w:val="nil"/>
              <w:bottom w:val="single" w:sz="6" w:space="0" w:color="000000"/>
              <w:right w:val="nil"/>
            </w:tcBorders>
            <w:shd w:val="clear" w:color="auto" w:fill="F2F7FB"/>
            <w:vAlign w:val="center"/>
          </w:tcPr>
          <w:p w:rsidR="0040783B" w:rsidRDefault="0040783B" w:rsidP="00AE7FF4">
            <w:pPr>
              <w:spacing w:line="259" w:lineRule="auto"/>
              <w:ind w:left="156"/>
            </w:pPr>
            <w:r>
              <w:rPr>
                <w:sz w:val="21"/>
              </w:rPr>
              <w:t xml:space="preserve"> </w:t>
            </w:r>
          </w:p>
        </w:tc>
        <w:tc>
          <w:tcPr>
            <w:tcW w:w="1527" w:type="dxa"/>
            <w:gridSpan w:val="2"/>
            <w:tcBorders>
              <w:top w:val="single" w:sz="6" w:space="0" w:color="000000"/>
              <w:left w:val="nil"/>
              <w:bottom w:val="single" w:sz="6" w:space="0" w:color="000000"/>
              <w:right w:val="nil"/>
            </w:tcBorders>
            <w:shd w:val="clear" w:color="auto" w:fill="F2F7FB"/>
            <w:vAlign w:val="center"/>
          </w:tcPr>
          <w:p w:rsidR="0040783B" w:rsidRDefault="0040783B" w:rsidP="00AE7FF4">
            <w:pPr>
              <w:spacing w:line="259" w:lineRule="auto"/>
              <w:ind w:left="156"/>
            </w:pPr>
            <w:r>
              <w:rPr>
                <w:rFonts w:ascii="Calibri" w:eastAsia="Calibri" w:hAnsi="Calibri" w:cs="Calibri"/>
                <w:b/>
                <w:sz w:val="21"/>
              </w:rPr>
              <w:t>X</w:t>
            </w:r>
          </w:p>
        </w:tc>
        <w:tc>
          <w:tcPr>
            <w:tcW w:w="1495" w:type="dxa"/>
            <w:gridSpan w:val="2"/>
            <w:tcBorders>
              <w:top w:val="single" w:sz="6" w:space="0" w:color="000000"/>
              <w:left w:val="nil"/>
              <w:bottom w:val="single" w:sz="6" w:space="0" w:color="000000"/>
              <w:right w:val="nil"/>
            </w:tcBorders>
            <w:shd w:val="clear" w:color="auto" w:fill="F2F7FB"/>
            <w:vAlign w:val="center"/>
          </w:tcPr>
          <w:p w:rsidR="0040783B" w:rsidRDefault="0040783B" w:rsidP="00AE7FF4">
            <w:pPr>
              <w:spacing w:line="259" w:lineRule="auto"/>
              <w:ind w:left="156"/>
            </w:pPr>
            <w:r>
              <w:rPr>
                <w:sz w:val="21"/>
              </w:rPr>
              <w:t xml:space="preserve"> </w:t>
            </w:r>
          </w:p>
        </w:tc>
        <w:tc>
          <w:tcPr>
            <w:tcW w:w="1443" w:type="dxa"/>
            <w:gridSpan w:val="2"/>
            <w:tcBorders>
              <w:top w:val="single" w:sz="6" w:space="0" w:color="000000"/>
              <w:left w:val="nil"/>
              <w:bottom w:val="single" w:sz="6" w:space="0" w:color="000000"/>
              <w:right w:val="nil"/>
            </w:tcBorders>
            <w:shd w:val="clear" w:color="auto" w:fill="F2F7FB"/>
            <w:vAlign w:val="center"/>
          </w:tcPr>
          <w:p w:rsidR="0040783B" w:rsidRDefault="0040783B" w:rsidP="00AE7FF4">
            <w:pPr>
              <w:spacing w:line="259" w:lineRule="auto"/>
              <w:ind w:left="156"/>
            </w:pPr>
            <w:r>
              <w:rPr>
                <w:sz w:val="21"/>
              </w:rPr>
              <w:t xml:space="preserve"> </w:t>
            </w:r>
          </w:p>
        </w:tc>
      </w:tr>
      <w:tr w:rsidR="0040783B" w:rsidTr="00AE7FF4">
        <w:trPr>
          <w:trHeight w:val="971"/>
        </w:trPr>
        <w:tc>
          <w:tcPr>
            <w:tcW w:w="3230" w:type="dxa"/>
            <w:gridSpan w:val="2"/>
            <w:tcBorders>
              <w:top w:val="single" w:sz="6" w:space="0" w:color="000000"/>
              <w:left w:val="nil"/>
              <w:bottom w:val="single" w:sz="6" w:space="0" w:color="000000"/>
              <w:right w:val="nil"/>
            </w:tcBorders>
            <w:shd w:val="clear" w:color="auto" w:fill="DEEAF6"/>
          </w:tcPr>
          <w:p w:rsidR="0040783B" w:rsidRDefault="0040783B" w:rsidP="00AE7FF4">
            <w:pPr>
              <w:spacing w:line="259" w:lineRule="auto"/>
              <w:ind w:left="208"/>
            </w:pPr>
            <w:r>
              <w:rPr>
                <w:rFonts w:ascii="Calibri" w:eastAsia="Calibri" w:hAnsi="Calibri" w:cs="Calibri"/>
                <w:b/>
                <w:sz w:val="21"/>
              </w:rPr>
              <w:t>Глюкокортикоиды*</w:t>
            </w:r>
          </w:p>
        </w:tc>
        <w:tc>
          <w:tcPr>
            <w:tcW w:w="1495" w:type="dxa"/>
            <w:gridSpan w:val="2"/>
            <w:tcBorders>
              <w:top w:val="single" w:sz="6" w:space="0" w:color="000000"/>
              <w:left w:val="nil"/>
              <w:bottom w:val="single" w:sz="6" w:space="0" w:color="000000"/>
              <w:right w:val="nil"/>
            </w:tcBorders>
            <w:shd w:val="clear" w:color="auto" w:fill="DEEAF6"/>
          </w:tcPr>
          <w:p w:rsidR="0040783B" w:rsidRDefault="0040783B" w:rsidP="00AE7FF4">
            <w:pPr>
              <w:spacing w:line="259" w:lineRule="auto"/>
            </w:pPr>
            <w:r>
              <w:rPr>
                <w:rFonts w:ascii="Calibri" w:eastAsia="Calibri" w:hAnsi="Calibri" w:cs="Calibri"/>
                <w:b/>
                <w:sz w:val="21"/>
              </w:rPr>
              <w:t>X</w:t>
            </w:r>
          </w:p>
        </w:tc>
        <w:tc>
          <w:tcPr>
            <w:tcW w:w="1495" w:type="dxa"/>
            <w:gridSpan w:val="2"/>
            <w:tcBorders>
              <w:top w:val="single" w:sz="6" w:space="0" w:color="000000"/>
              <w:left w:val="nil"/>
              <w:bottom w:val="single" w:sz="6" w:space="0" w:color="000000"/>
              <w:right w:val="nil"/>
            </w:tcBorders>
            <w:shd w:val="clear" w:color="auto" w:fill="DEEAF6"/>
          </w:tcPr>
          <w:p w:rsidR="0040783B" w:rsidRDefault="0040783B" w:rsidP="00AE7FF4">
            <w:pPr>
              <w:spacing w:line="259" w:lineRule="auto"/>
            </w:pPr>
            <w:r>
              <w:rPr>
                <w:sz w:val="21"/>
              </w:rPr>
              <w:t xml:space="preserve"> </w:t>
            </w:r>
          </w:p>
        </w:tc>
        <w:tc>
          <w:tcPr>
            <w:tcW w:w="1527" w:type="dxa"/>
            <w:gridSpan w:val="2"/>
            <w:tcBorders>
              <w:top w:val="single" w:sz="6" w:space="0" w:color="000000"/>
              <w:left w:val="nil"/>
              <w:bottom w:val="single" w:sz="6" w:space="0" w:color="000000"/>
              <w:right w:val="nil"/>
            </w:tcBorders>
            <w:shd w:val="clear" w:color="auto" w:fill="DEEAF6"/>
            <w:vAlign w:val="center"/>
          </w:tcPr>
          <w:p w:rsidR="0040783B" w:rsidRDefault="0040783B" w:rsidP="00AE7FF4">
            <w:pPr>
              <w:spacing w:line="259" w:lineRule="auto"/>
            </w:pPr>
            <w:r>
              <w:rPr>
                <w:rFonts w:ascii="Calibri" w:eastAsia="Calibri" w:hAnsi="Calibri" w:cs="Calibri"/>
                <w:b/>
                <w:sz w:val="21"/>
              </w:rPr>
              <w:t>X</w:t>
            </w:r>
          </w:p>
          <w:p w:rsidR="0040783B" w:rsidRDefault="0040783B" w:rsidP="00AE7FF4">
            <w:pPr>
              <w:spacing w:line="259" w:lineRule="auto"/>
            </w:pPr>
            <w:r>
              <w:rPr>
                <w:rFonts w:ascii="Calibri" w:eastAsia="Calibri" w:hAnsi="Calibri" w:cs="Calibri"/>
                <w:b/>
                <w:sz w:val="21"/>
              </w:rPr>
              <w:t>(вдохнувший, внутриносовой</w:t>
            </w:r>
          </w:p>
        </w:tc>
        <w:tc>
          <w:tcPr>
            <w:tcW w:w="1495" w:type="dxa"/>
            <w:gridSpan w:val="2"/>
            <w:tcBorders>
              <w:top w:val="single" w:sz="6" w:space="0" w:color="000000"/>
              <w:left w:val="nil"/>
              <w:bottom w:val="single" w:sz="6" w:space="0" w:color="000000"/>
              <w:right w:val="nil"/>
            </w:tcBorders>
            <w:shd w:val="clear" w:color="auto" w:fill="DEEAF6"/>
          </w:tcPr>
          <w:p w:rsidR="0040783B" w:rsidRDefault="0040783B" w:rsidP="00AE7FF4">
            <w:pPr>
              <w:spacing w:line="259" w:lineRule="auto"/>
            </w:pPr>
            <w:r>
              <w:rPr>
                <w:rFonts w:ascii="Calibri" w:eastAsia="Calibri" w:hAnsi="Calibri" w:cs="Calibri"/>
                <w:b/>
                <w:sz w:val="21"/>
              </w:rPr>
              <w:t>X</w:t>
            </w:r>
          </w:p>
        </w:tc>
        <w:tc>
          <w:tcPr>
            <w:tcW w:w="1287" w:type="dxa"/>
            <w:tcBorders>
              <w:top w:val="single" w:sz="6" w:space="0" w:color="000000"/>
              <w:left w:val="nil"/>
              <w:bottom w:val="single" w:sz="6" w:space="0" w:color="000000"/>
              <w:right w:val="nil"/>
            </w:tcBorders>
            <w:shd w:val="clear" w:color="auto" w:fill="DEEAF6"/>
          </w:tcPr>
          <w:p w:rsidR="0040783B" w:rsidRDefault="0040783B" w:rsidP="00AE7FF4">
            <w:pPr>
              <w:spacing w:line="259" w:lineRule="auto"/>
            </w:pPr>
            <w:r>
              <w:rPr>
                <w:sz w:val="21"/>
              </w:rPr>
              <w:t xml:space="preserve"> </w:t>
            </w:r>
          </w:p>
        </w:tc>
      </w:tr>
      <w:tr w:rsidR="0040783B" w:rsidTr="00AE7FF4">
        <w:trPr>
          <w:trHeight w:val="971"/>
        </w:trPr>
        <w:tc>
          <w:tcPr>
            <w:tcW w:w="3230" w:type="dxa"/>
            <w:gridSpan w:val="2"/>
            <w:tcBorders>
              <w:top w:val="single" w:sz="6" w:space="0" w:color="000000"/>
              <w:left w:val="nil"/>
              <w:bottom w:val="single" w:sz="6" w:space="0" w:color="000000"/>
              <w:right w:val="nil"/>
            </w:tcBorders>
            <w:shd w:val="clear" w:color="auto" w:fill="F2F7FB"/>
            <w:vAlign w:val="center"/>
          </w:tcPr>
          <w:p w:rsidR="0040783B" w:rsidRDefault="0040783B" w:rsidP="00AE7FF4">
            <w:pPr>
              <w:spacing w:line="259" w:lineRule="auto"/>
              <w:ind w:left="208"/>
            </w:pPr>
            <w:r>
              <w:rPr>
                <w:rFonts w:ascii="Calibri" w:eastAsia="Calibri" w:hAnsi="Calibri" w:cs="Calibri"/>
                <w:b/>
                <w:sz w:val="21"/>
              </w:rPr>
              <w:t>Гербарии</w:t>
            </w:r>
          </w:p>
          <w:p w:rsidR="0040783B" w:rsidRDefault="0040783B" w:rsidP="00AE7FF4">
            <w:pPr>
              <w:spacing w:line="259" w:lineRule="auto"/>
              <w:ind w:left="208"/>
            </w:pPr>
            <w:r>
              <w:rPr>
                <w:rFonts w:ascii="Calibri" w:eastAsia="Calibri" w:hAnsi="Calibri" w:cs="Calibri"/>
                <w:b/>
                <w:sz w:val="21"/>
              </w:rPr>
              <w:t>Затор Св. Джона</w:t>
            </w:r>
          </w:p>
          <w:p w:rsidR="0040783B" w:rsidRDefault="0040783B" w:rsidP="00AE7FF4">
            <w:pPr>
              <w:spacing w:line="259" w:lineRule="auto"/>
              <w:ind w:left="208"/>
            </w:pPr>
            <w:r>
              <w:rPr>
                <w:rFonts w:ascii="Calibri" w:eastAsia="Calibri" w:hAnsi="Calibri" w:cs="Calibri"/>
                <w:b/>
                <w:sz w:val="21"/>
              </w:rPr>
              <w:t>Молочный чертополох</w:t>
            </w:r>
          </w:p>
        </w:tc>
        <w:tc>
          <w:tcPr>
            <w:tcW w:w="1495" w:type="dxa"/>
            <w:gridSpan w:val="2"/>
            <w:tcBorders>
              <w:top w:val="single" w:sz="6" w:space="0" w:color="000000"/>
              <w:left w:val="nil"/>
              <w:bottom w:val="single" w:sz="6" w:space="0" w:color="000000"/>
              <w:right w:val="nil"/>
            </w:tcBorders>
            <w:shd w:val="clear" w:color="auto" w:fill="F2F7FB"/>
          </w:tcPr>
          <w:p w:rsidR="0040783B" w:rsidRDefault="0040783B" w:rsidP="00AE7FF4">
            <w:pPr>
              <w:spacing w:line="259" w:lineRule="auto"/>
            </w:pPr>
            <w:r>
              <w:rPr>
                <w:sz w:val="21"/>
              </w:rPr>
              <w:t xml:space="preserve"> </w:t>
            </w:r>
          </w:p>
          <w:p w:rsidR="0040783B" w:rsidRDefault="0040783B" w:rsidP="00AE7FF4">
            <w:pPr>
              <w:spacing w:line="259" w:lineRule="auto"/>
            </w:pPr>
            <w:r>
              <w:rPr>
                <w:rFonts w:ascii="Calibri" w:eastAsia="Calibri" w:hAnsi="Calibri" w:cs="Calibri"/>
                <w:b/>
                <w:sz w:val="21"/>
              </w:rPr>
              <w:t>X</w:t>
            </w:r>
          </w:p>
        </w:tc>
        <w:tc>
          <w:tcPr>
            <w:tcW w:w="1495" w:type="dxa"/>
            <w:gridSpan w:val="2"/>
            <w:tcBorders>
              <w:top w:val="single" w:sz="6" w:space="0" w:color="000000"/>
              <w:left w:val="nil"/>
              <w:bottom w:val="single" w:sz="6" w:space="0" w:color="000000"/>
              <w:right w:val="nil"/>
            </w:tcBorders>
            <w:shd w:val="clear" w:color="auto" w:fill="F2F7FB"/>
          </w:tcPr>
          <w:p w:rsidR="0040783B" w:rsidRDefault="0040783B" w:rsidP="00AE7FF4">
            <w:pPr>
              <w:spacing w:line="259" w:lineRule="auto"/>
            </w:pPr>
            <w:r>
              <w:rPr>
                <w:sz w:val="21"/>
              </w:rPr>
              <w:t xml:space="preserve"> </w:t>
            </w:r>
          </w:p>
          <w:p w:rsidR="0040783B" w:rsidRDefault="0040783B" w:rsidP="00AE7FF4">
            <w:pPr>
              <w:spacing w:line="259" w:lineRule="auto"/>
            </w:pPr>
            <w:r>
              <w:rPr>
                <w:rFonts w:ascii="Calibri" w:eastAsia="Calibri" w:hAnsi="Calibri" w:cs="Calibri"/>
                <w:b/>
                <w:sz w:val="21"/>
              </w:rPr>
              <w:t>X</w:t>
            </w:r>
          </w:p>
        </w:tc>
        <w:tc>
          <w:tcPr>
            <w:tcW w:w="1527" w:type="dxa"/>
            <w:gridSpan w:val="2"/>
            <w:tcBorders>
              <w:top w:val="single" w:sz="6" w:space="0" w:color="000000"/>
              <w:left w:val="nil"/>
              <w:bottom w:val="single" w:sz="6" w:space="0" w:color="000000"/>
              <w:right w:val="nil"/>
            </w:tcBorders>
            <w:shd w:val="clear" w:color="auto" w:fill="F2F7FB"/>
          </w:tcPr>
          <w:p w:rsidR="0040783B" w:rsidRDefault="0040783B" w:rsidP="00AE7FF4">
            <w:pPr>
              <w:spacing w:line="259" w:lineRule="auto"/>
            </w:pPr>
            <w:r>
              <w:rPr>
                <w:sz w:val="21"/>
              </w:rPr>
              <w:t xml:space="preserve"> </w:t>
            </w:r>
          </w:p>
          <w:p w:rsidR="0040783B" w:rsidRDefault="0040783B" w:rsidP="00AE7FF4">
            <w:pPr>
              <w:spacing w:line="259" w:lineRule="auto"/>
            </w:pPr>
            <w:r>
              <w:rPr>
                <w:rFonts w:ascii="Calibri" w:eastAsia="Calibri" w:hAnsi="Calibri" w:cs="Calibri"/>
                <w:b/>
                <w:sz w:val="21"/>
              </w:rPr>
              <w:t>X</w:t>
            </w:r>
          </w:p>
        </w:tc>
        <w:tc>
          <w:tcPr>
            <w:tcW w:w="1495" w:type="dxa"/>
            <w:gridSpan w:val="2"/>
            <w:tcBorders>
              <w:top w:val="single" w:sz="6" w:space="0" w:color="000000"/>
              <w:left w:val="nil"/>
              <w:bottom w:val="single" w:sz="6" w:space="0" w:color="000000"/>
              <w:right w:val="nil"/>
            </w:tcBorders>
            <w:shd w:val="clear" w:color="auto" w:fill="F2F7FB"/>
            <w:vAlign w:val="center"/>
          </w:tcPr>
          <w:p w:rsidR="0040783B" w:rsidRDefault="0040783B" w:rsidP="00AE7FF4">
            <w:pPr>
              <w:spacing w:line="259" w:lineRule="auto"/>
            </w:pPr>
            <w:r>
              <w:rPr>
                <w:sz w:val="21"/>
              </w:rPr>
              <w:t xml:space="preserve"> </w:t>
            </w:r>
          </w:p>
          <w:p w:rsidR="0040783B" w:rsidRDefault="0040783B" w:rsidP="00AE7FF4">
            <w:pPr>
              <w:spacing w:line="259" w:lineRule="auto"/>
            </w:pPr>
            <w:r>
              <w:rPr>
                <w:rFonts w:ascii="Calibri" w:eastAsia="Calibri" w:hAnsi="Calibri" w:cs="Calibri"/>
                <w:b/>
                <w:sz w:val="21"/>
              </w:rPr>
              <w:t>X</w:t>
            </w:r>
          </w:p>
          <w:p w:rsidR="0040783B" w:rsidRDefault="0040783B" w:rsidP="00AE7FF4">
            <w:pPr>
              <w:spacing w:line="259" w:lineRule="auto"/>
            </w:pPr>
            <w:r>
              <w:rPr>
                <w:rFonts w:ascii="Calibri" w:eastAsia="Calibri" w:hAnsi="Calibri" w:cs="Calibri"/>
                <w:b/>
                <w:sz w:val="21"/>
              </w:rPr>
              <w:t>X</w:t>
            </w:r>
          </w:p>
        </w:tc>
        <w:tc>
          <w:tcPr>
            <w:tcW w:w="1287" w:type="dxa"/>
            <w:tcBorders>
              <w:top w:val="single" w:sz="6" w:space="0" w:color="000000"/>
              <w:left w:val="nil"/>
              <w:bottom w:val="single" w:sz="6" w:space="0" w:color="000000"/>
              <w:right w:val="nil"/>
            </w:tcBorders>
            <w:shd w:val="clear" w:color="auto" w:fill="F2F7FB"/>
          </w:tcPr>
          <w:p w:rsidR="0040783B" w:rsidRDefault="0040783B" w:rsidP="00AE7FF4">
            <w:pPr>
              <w:spacing w:line="259" w:lineRule="auto"/>
            </w:pPr>
            <w:r>
              <w:rPr>
                <w:sz w:val="21"/>
              </w:rPr>
              <w:t xml:space="preserve"> </w:t>
            </w:r>
          </w:p>
          <w:p w:rsidR="0040783B" w:rsidRDefault="0040783B" w:rsidP="00AE7FF4">
            <w:pPr>
              <w:spacing w:line="259" w:lineRule="auto"/>
            </w:pPr>
            <w:r>
              <w:rPr>
                <w:rFonts w:ascii="Calibri" w:eastAsia="Calibri" w:hAnsi="Calibri" w:cs="Calibri"/>
                <w:b/>
                <w:sz w:val="21"/>
              </w:rPr>
              <w:t>X</w:t>
            </w:r>
          </w:p>
        </w:tc>
      </w:tr>
      <w:tr w:rsidR="0040783B" w:rsidTr="00AE7FF4">
        <w:trPr>
          <w:trHeight w:val="722"/>
        </w:trPr>
        <w:tc>
          <w:tcPr>
            <w:tcW w:w="3230" w:type="dxa"/>
            <w:gridSpan w:val="2"/>
            <w:tcBorders>
              <w:top w:val="single" w:sz="6" w:space="0" w:color="000000"/>
              <w:left w:val="nil"/>
              <w:bottom w:val="single" w:sz="6" w:space="0" w:color="000000"/>
              <w:right w:val="nil"/>
            </w:tcBorders>
            <w:shd w:val="clear" w:color="auto" w:fill="DEEAF6"/>
            <w:vAlign w:val="center"/>
          </w:tcPr>
          <w:p w:rsidR="0040783B" w:rsidRDefault="0040783B" w:rsidP="00AE7FF4">
            <w:pPr>
              <w:spacing w:line="259" w:lineRule="auto"/>
              <w:ind w:left="208" w:right="271"/>
            </w:pPr>
            <w:r>
              <w:rPr>
                <w:rFonts w:ascii="Calibri" w:eastAsia="Calibri" w:hAnsi="Calibri" w:cs="Calibri"/>
                <w:b/>
                <w:sz w:val="21"/>
              </w:rPr>
              <w:t>Антибактериальные препараты макролида*</w:t>
            </w:r>
          </w:p>
        </w:tc>
        <w:tc>
          <w:tcPr>
            <w:tcW w:w="1495" w:type="dxa"/>
            <w:gridSpan w:val="2"/>
            <w:tcBorders>
              <w:top w:val="single" w:sz="6" w:space="0" w:color="000000"/>
              <w:left w:val="nil"/>
              <w:bottom w:val="single" w:sz="6" w:space="0" w:color="000000"/>
              <w:right w:val="nil"/>
            </w:tcBorders>
            <w:shd w:val="clear" w:color="auto" w:fill="DEEAF6"/>
          </w:tcPr>
          <w:p w:rsidR="0040783B" w:rsidRDefault="0040783B" w:rsidP="00AE7FF4">
            <w:pPr>
              <w:spacing w:line="259" w:lineRule="auto"/>
            </w:pPr>
            <w:r>
              <w:rPr>
                <w:rFonts w:ascii="Calibri" w:eastAsia="Calibri" w:hAnsi="Calibri" w:cs="Calibri"/>
                <w:b/>
                <w:sz w:val="21"/>
              </w:rPr>
              <w:t>X **</w:t>
            </w:r>
          </w:p>
        </w:tc>
        <w:tc>
          <w:tcPr>
            <w:tcW w:w="1495" w:type="dxa"/>
            <w:gridSpan w:val="2"/>
            <w:tcBorders>
              <w:top w:val="single" w:sz="6" w:space="0" w:color="000000"/>
              <w:left w:val="nil"/>
              <w:bottom w:val="single" w:sz="6" w:space="0" w:color="000000"/>
              <w:right w:val="nil"/>
            </w:tcBorders>
            <w:shd w:val="clear" w:color="auto" w:fill="DEEAF6"/>
          </w:tcPr>
          <w:p w:rsidR="0040783B" w:rsidRDefault="0040783B" w:rsidP="00AE7FF4">
            <w:pPr>
              <w:spacing w:line="259" w:lineRule="auto"/>
            </w:pPr>
            <w:r>
              <w:rPr>
                <w:sz w:val="21"/>
              </w:rPr>
              <w:t xml:space="preserve"> </w:t>
            </w:r>
          </w:p>
        </w:tc>
        <w:tc>
          <w:tcPr>
            <w:tcW w:w="1527" w:type="dxa"/>
            <w:gridSpan w:val="2"/>
            <w:tcBorders>
              <w:top w:val="single" w:sz="6" w:space="0" w:color="000000"/>
              <w:left w:val="nil"/>
              <w:bottom w:val="single" w:sz="6" w:space="0" w:color="000000"/>
              <w:right w:val="nil"/>
            </w:tcBorders>
            <w:shd w:val="clear" w:color="auto" w:fill="DEEAF6"/>
          </w:tcPr>
          <w:p w:rsidR="0040783B" w:rsidRDefault="0040783B" w:rsidP="00AE7FF4">
            <w:pPr>
              <w:spacing w:line="259" w:lineRule="auto"/>
            </w:pPr>
            <w:r>
              <w:rPr>
                <w:sz w:val="21"/>
              </w:rPr>
              <w:t xml:space="preserve"> </w:t>
            </w:r>
          </w:p>
        </w:tc>
        <w:tc>
          <w:tcPr>
            <w:tcW w:w="1495" w:type="dxa"/>
            <w:gridSpan w:val="2"/>
            <w:tcBorders>
              <w:top w:val="single" w:sz="6" w:space="0" w:color="000000"/>
              <w:left w:val="nil"/>
              <w:bottom w:val="single" w:sz="6" w:space="0" w:color="000000"/>
              <w:right w:val="nil"/>
            </w:tcBorders>
            <w:shd w:val="clear" w:color="auto" w:fill="DEEAF6"/>
          </w:tcPr>
          <w:p w:rsidR="0040783B" w:rsidRDefault="0040783B" w:rsidP="00AE7FF4">
            <w:pPr>
              <w:spacing w:line="259" w:lineRule="auto"/>
            </w:pPr>
            <w:r>
              <w:rPr>
                <w:rFonts w:ascii="Calibri" w:eastAsia="Calibri" w:hAnsi="Calibri" w:cs="Calibri"/>
                <w:b/>
                <w:sz w:val="21"/>
              </w:rPr>
              <w:t>X</w:t>
            </w:r>
          </w:p>
        </w:tc>
        <w:tc>
          <w:tcPr>
            <w:tcW w:w="1287" w:type="dxa"/>
            <w:tcBorders>
              <w:top w:val="single" w:sz="6" w:space="0" w:color="000000"/>
              <w:left w:val="nil"/>
              <w:bottom w:val="single" w:sz="6" w:space="0" w:color="000000"/>
              <w:right w:val="nil"/>
            </w:tcBorders>
            <w:shd w:val="clear" w:color="auto" w:fill="DEEAF6"/>
          </w:tcPr>
          <w:p w:rsidR="0040783B" w:rsidRDefault="0040783B" w:rsidP="00AE7FF4">
            <w:pPr>
              <w:spacing w:line="259" w:lineRule="auto"/>
            </w:pPr>
            <w:r>
              <w:rPr>
                <w:sz w:val="21"/>
              </w:rPr>
              <w:t xml:space="preserve"> </w:t>
            </w:r>
          </w:p>
        </w:tc>
      </w:tr>
      <w:tr w:rsidR="0040783B" w:rsidTr="00AE7FF4">
        <w:trPr>
          <w:trHeight w:val="472"/>
        </w:trPr>
        <w:tc>
          <w:tcPr>
            <w:tcW w:w="3230" w:type="dxa"/>
            <w:gridSpan w:val="2"/>
            <w:tcBorders>
              <w:top w:val="single" w:sz="6" w:space="0" w:color="000000"/>
              <w:left w:val="nil"/>
              <w:bottom w:val="single" w:sz="6" w:space="0" w:color="000000"/>
              <w:right w:val="nil"/>
            </w:tcBorders>
            <w:shd w:val="clear" w:color="auto" w:fill="F2F7FB"/>
            <w:vAlign w:val="center"/>
          </w:tcPr>
          <w:p w:rsidR="0040783B" w:rsidRDefault="0040783B" w:rsidP="00AE7FF4">
            <w:pPr>
              <w:spacing w:line="259" w:lineRule="auto"/>
              <w:ind w:left="208"/>
            </w:pPr>
            <w:r>
              <w:rPr>
                <w:rFonts w:ascii="Calibri" w:eastAsia="Calibri" w:hAnsi="Calibri" w:cs="Calibri"/>
                <w:b/>
                <w:sz w:val="21"/>
              </w:rPr>
              <w:t>Другой antiarrythmics*</w:t>
            </w:r>
          </w:p>
        </w:tc>
        <w:tc>
          <w:tcPr>
            <w:tcW w:w="1495" w:type="dxa"/>
            <w:gridSpan w:val="2"/>
            <w:tcBorders>
              <w:top w:val="single" w:sz="6" w:space="0" w:color="000000"/>
              <w:left w:val="nil"/>
              <w:bottom w:val="single" w:sz="6" w:space="0" w:color="000000"/>
              <w:right w:val="nil"/>
            </w:tcBorders>
            <w:shd w:val="clear" w:color="auto" w:fill="F2F7FB"/>
            <w:vAlign w:val="center"/>
          </w:tcPr>
          <w:p w:rsidR="0040783B" w:rsidRDefault="0040783B" w:rsidP="00AE7FF4">
            <w:pPr>
              <w:spacing w:line="259" w:lineRule="auto"/>
            </w:pPr>
            <w:r>
              <w:rPr>
                <w:sz w:val="21"/>
              </w:rPr>
              <w:t xml:space="preserve"> </w:t>
            </w:r>
          </w:p>
        </w:tc>
        <w:tc>
          <w:tcPr>
            <w:tcW w:w="1495" w:type="dxa"/>
            <w:gridSpan w:val="2"/>
            <w:tcBorders>
              <w:top w:val="single" w:sz="6" w:space="0" w:color="000000"/>
              <w:left w:val="nil"/>
              <w:bottom w:val="single" w:sz="6" w:space="0" w:color="000000"/>
              <w:right w:val="nil"/>
            </w:tcBorders>
            <w:shd w:val="clear" w:color="auto" w:fill="F2F7FB"/>
            <w:vAlign w:val="center"/>
          </w:tcPr>
          <w:p w:rsidR="0040783B" w:rsidRDefault="0040783B" w:rsidP="00AE7FF4">
            <w:pPr>
              <w:spacing w:line="259" w:lineRule="auto"/>
            </w:pPr>
            <w:r>
              <w:rPr>
                <w:sz w:val="21"/>
              </w:rPr>
              <w:t xml:space="preserve"> </w:t>
            </w:r>
          </w:p>
        </w:tc>
        <w:tc>
          <w:tcPr>
            <w:tcW w:w="1527" w:type="dxa"/>
            <w:gridSpan w:val="2"/>
            <w:tcBorders>
              <w:top w:val="single" w:sz="6" w:space="0" w:color="000000"/>
              <w:left w:val="nil"/>
              <w:bottom w:val="single" w:sz="6" w:space="0" w:color="000000"/>
              <w:right w:val="nil"/>
            </w:tcBorders>
            <w:shd w:val="clear" w:color="auto" w:fill="F2F7FB"/>
            <w:vAlign w:val="center"/>
          </w:tcPr>
          <w:p w:rsidR="0040783B" w:rsidRDefault="0040783B" w:rsidP="00AE7FF4">
            <w:pPr>
              <w:spacing w:line="259" w:lineRule="auto"/>
            </w:pPr>
            <w:r>
              <w:rPr>
                <w:rFonts w:ascii="Calibri" w:eastAsia="Calibri" w:hAnsi="Calibri" w:cs="Calibri"/>
                <w:b/>
                <w:sz w:val="21"/>
              </w:rPr>
              <w:t>X</w:t>
            </w:r>
          </w:p>
        </w:tc>
        <w:tc>
          <w:tcPr>
            <w:tcW w:w="1495" w:type="dxa"/>
            <w:gridSpan w:val="2"/>
            <w:tcBorders>
              <w:top w:val="single" w:sz="6" w:space="0" w:color="000000"/>
              <w:left w:val="nil"/>
              <w:bottom w:val="single" w:sz="6" w:space="0" w:color="000000"/>
              <w:right w:val="nil"/>
            </w:tcBorders>
            <w:shd w:val="clear" w:color="auto" w:fill="F2F7FB"/>
            <w:vAlign w:val="center"/>
          </w:tcPr>
          <w:p w:rsidR="0040783B" w:rsidRDefault="0040783B" w:rsidP="00AE7FF4">
            <w:pPr>
              <w:spacing w:line="259" w:lineRule="auto"/>
            </w:pPr>
            <w:r>
              <w:rPr>
                <w:rFonts w:ascii="Calibri" w:eastAsia="Calibri" w:hAnsi="Calibri" w:cs="Calibri"/>
                <w:b/>
                <w:sz w:val="21"/>
              </w:rPr>
              <w:t>X</w:t>
            </w:r>
          </w:p>
        </w:tc>
        <w:tc>
          <w:tcPr>
            <w:tcW w:w="1287" w:type="dxa"/>
            <w:tcBorders>
              <w:top w:val="single" w:sz="6" w:space="0" w:color="000000"/>
              <w:left w:val="nil"/>
              <w:bottom w:val="single" w:sz="6" w:space="0" w:color="000000"/>
              <w:right w:val="nil"/>
            </w:tcBorders>
            <w:shd w:val="clear" w:color="auto" w:fill="F2F7FB"/>
            <w:vAlign w:val="center"/>
          </w:tcPr>
          <w:p w:rsidR="0040783B" w:rsidRDefault="0040783B" w:rsidP="00AE7FF4">
            <w:pPr>
              <w:spacing w:line="259" w:lineRule="auto"/>
            </w:pPr>
            <w:r>
              <w:rPr>
                <w:sz w:val="21"/>
              </w:rPr>
              <w:t xml:space="preserve"> </w:t>
            </w:r>
          </w:p>
        </w:tc>
      </w:tr>
      <w:tr w:rsidR="0040783B" w:rsidTr="00AE7FF4">
        <w:trPr>
          <w:trHeight w:val="722"/>
        </w:trPr>
        <w:tc>
          <w:tcPr>
            <w:tcW w:w="3230" w:type="dxa"/>
            <w:gridSpan w:val="2"/>
            <w:tcBorders>
              <w:top w:val="single" w:sz="6" w:space="0" w:color="000000"/>
              <w:left w:val="nil"/>
              <w:bottom w:val="single" w:sz="6" w:space="0" w:color="000000"/>
              <w:right w:val="nil"/>
            </w:tcBorders>
            <w:shd w:val="clear" w:color="auto" w:fill="DEEAF6"/>
            <w:vAlign w:val="center"/>
          </w:tcPr>
          <w:p w:rsidR="0040783B" w:rsidRDefault="0040783B" w:rsidP="00AE7FF4">
            <w:pPr>
              <w:spacing w:line="259" w:lineRule="auto"/>
              <w:ind w:left="208" w:right="222"/>
            </w:pPr>
            <w:r>
              <w:rPr>
                <w:rFonts w:ascii="Calibri" w:eastAsia="Calibri" w:hAnsi="Calibri" w:cs="Calibri"/>
                <w:b/>
                <w:sz w:val="21"/>
              </w:rPr>
              <w:t>Ингибиторы типа 5 фосфодиэстеразы*</w:t>
            </w:r>
          </w:p>
        </w:tc>
        <w:tc>
          <w:tcPr>
            <w:tcW w:w="1495" w:type="dxa"/>
            <w:gridSpan w:val="2"/>
            <w:tcBorders>
              <w:top w:val="single" w:sz="6" w:space="0" w:color="000000"/>
              <w:left w:val="nil"/>
              <w:bottom w:val="single" w:sz="6" w:space="0" w:color="000000"/>
              <w:right w:val="nil"/>
            </w:tcBorders>
            <w:shd w:val="clear" w:color="auto" w:fill="DEEAF6"/>
          </w:tcPr>
          <w:p w:rsidR="0040783B" w:rsidRDefault="0040783B" w:rsidP="00AE7FF4">
            <w:pPr>
              <w:spacing w:line="259" w:lineRule="auto"/>
            </w:pPr>
            <w:r>
              <w:rPr>
                <w:sz w:val="21"/>
              </w:rPr>
              <w:t xml:space="preserve"> </w:t>
            </w:r>
          </w:p>
        </w:tc>
        <w:tc>
          <w:tcPr>
            <w:tcW w:w="1495" w:type="dxa"/>
            <w:gridSpan w:val="2"/>
            <w:tcBorders>
              <w:top w:val="single" w:sz="6" w:space="0" w:color="000000"/>
              <w:left w:val="nil"/>
              <w:bottom w:val="single" w:sz="6" w:space="0" w:color="000000"/>
              <w:right w:val="nil"/>
            </w:tcBorders>
            <w:shd w:val="clear" w:color="auto" w:fill="DEEAF6"/>
          </w:tcPr>
          <w:p w:rsidR="0040783B" w:rsidRDefault="0040783B" w:rsidP="00AE7FF4">
            <w:pPr>
              <w:spacing w:line="259" w:lineRule="auto"/>
            </w:pPr>
            <w:r>
              <w:rPr>
                <w:sz w:val="21"/>
              </w:rPr>
              <w:t xml:space="preserve"> </w:t>
            </w:r>
          </w:p>
        </w:tc>
        <w:tc>
          <w:tcPr>
            <w:tcW w:w="1527" w:type="dxa"/>
            <w:gridSpan w:val="2"/>
            <w:tcBorders>
              <w:top w:val="single" w:sz="6" w:space="0" w:color="000000"/>
              <w:left w:val="nil"/>
              <w:bottom w:val="single" w:sz="6" w:space="0" w:color="000000"/>
              <w:right w:val="nil"/>
            </w:tcBorders>
            <w:shd w:val="clear" w:color="auto" w:fill="DEEAF6"/>
          </w:tcPr>
          <w:p w:rsidR="0040783B" w:rsidRDefault="0040783B" w:rsidP="00AE7FF4">
            <w:pPr>
              <w:spacing w:line="259" w:lineRule="auto"/>
            </w:pPr>
            <w:r>
              <w:rPr>
                <w:rFonts w:ascii="Calibri" w:eastAsia="Calibri" w:hAnsi="Calibri" w:cs="Calibri"/>
                <w:b/>
                <w:sz w:val="21"/>
              </w:rPr>
              <w:t>X</w:t>
            </w:r>
          </w:p>
        </w:tc>
        <w:tc>
          <w:tcPr>
            <w:tcW w:w="1495" w:type="dxa"/>
            <w:gridSpan w:val="2"/>
            <w:tcBorders>
              <w:top w:val="single" w:sz="6" w:space="0" w:color="000000"/>
              <w:left w:val="nil"/>
              <w:bottom w:val="single" w:sz="6" w:space="0" w:color="000000"/>
              <w:right w:val="nil"/>
            </w:tcBorders>
            <w:shd w:val="clear" w:color="auto" w:fill="DEEAF6"/>
          </w:tcPr>
          <w:p w:rsidR="0040783B" w:rsidRDefault="0040783B" w:rsidP="00AE7FF4">
            <w:pPr>
              <w:spacing w:line="259" w:lineRule="auto"/>
            </w:pPr>
            <w:r>
              <w:rPr>
                <w:rFonts w:ascii="Calibri" w:eastAsia="Calibri" w:hAnsi="Calibri" w:cs="Calibri"/>
                <w:b/>
                <w:sz w:val="21"/>
              </w:rPr>
              <w:t>X</w:t>
            </w:r>
          </w:p>
        </w:tc>
        <w:tc>
          <w:tcPr>
            <w:tcW w:w="1287" w:type="dxa"/>
            <w:tcBorders>
              <w:top w:val="single" w:sz="6" w:space="0" w:color="000000"/>
              <w:left w:val="nil"/>
              <w:bottom w:val="single" w:sz="6" w:space="0" w:color="000000"/>
              <w:right w:val="nil"/>
            </w:tcBorders>
            <w:shd w:val="clear" w:color="auto" w:fill="DEEAF6"/>
          </w:tcPr>
          <w:p w:rsidR="0040783B" w:rsidRDefault="0040783B" w:rsidP="00AE7FF4">
            <w:pPr>
              <w:spacing w:line="259" w:lineRule="auto"/>
            </w:pPr>
            <w:r>
              <w:rPr>
                <w:sz w:val="21"/>
              </w:rPr>
              <w:t xml:space="preserve"> </w:t>
            </w:r>
          </w:p>
        </w:tc>
      </w:tr>
      <w:tr w:rsidR="0040783B" w:rsidTr="00AE7FF4">
        <w:trPr>
          <w:trHeight w:val="472"/>
        </w:trPr>
        <w:tc>
          <w:tcPr>
            <w:tcW w:w="3230" w:type="dxa"/>
            <w:gridSpan w:val="2"/>
            <w:tcBorders>
              <w:top w:val="single" w:sz="6" w:space="0" w:color="000000"/>
              <w:left w:val="nil"/>
              <w:bottom w:val="single" w:sz="6" w:space="0" w:color="000000"/>
              <w:right w:val="nil"/>
            </w:tcBorders>
            <w:shd w:val="clear" w:color="auto" w:fill="F2F7FB"/>
            <w:vAlign w:val="center"/>
          </w:tcPr>
          <w:p w:rsidR="0040783B" w:rsidRDefault="0040783B" w:rsidP="00AE7FF4">
            <w:pPr>
              <w:spacing w:line="259" w:lineRule="auto"/>
              <w:ind w:left="208"/>
            </w:pPr>
            <w:r>
              <w:rPr>
                <w:rFonts w:ascii="Calibri" w:eastAsia="Calibri" w:hAnsi="Calibri" w:cs="Calibri"/>
                <w:b/>
                <w:sz w:val="21"/>
              </w:rPr>
              <w:t>Pimozide</w:t>
            </w:r>
          </w:p>
        </w:tc>
        <w:tc>
          <w:tcPr>
            <w:tcW w:w="1495" w:type="dxa"/>
            <w:gridSpan w:val="2"/>
            <w:tcBorders>
              <w:top w:val="single" w:sz="6" w:space="0" w:color="000000"/>
              <w:left w:val="nil"/>
              <w:bottom w:val="single" w:sz="6" w:space="0" w:color="000000"/>
              <w:right w:val="nil"/>
            </w:tcBorders>
            <w:shd w:val="clear" w:color="auto" w:fill="F2F7FB"/>
            <w:vAlign w:val="center"/>
          </w:tcPr>
          <w:p w:rsidR="0040783B" w:rsidRDefault="0040783B" w:rsidP="00AE7FF4">
            <w:pPr>
              <w:spacing w:line="259" w:lineRule="auto"/>
            </w:pPr>
            <w:r>
              <w:rPr>
                <w:sz w:val="21"/>
              </w:rPr>
              <w:t xml:space="preserve"> </w:t>
            </w:r>
          </w:p>
        </w:tc>
        <w:tc>
          <w:tcPr>
            <w:tcW w:w="1495" w:type="dxa"/>
            <w:gridSpan w:val="2"/>
            <w:tcBorders>
              <w:top w:val="single" w:sz="6" w:space="0" w:color="000000"/>
              <w:left w:val="nil"/>
              <w:bottom w:val="single" w:sz="6" w:space="0" w:color="000000"/>
              <w:right w:val="nil"/>
            </w:tcBorders>
            <w:shd w:val="clear" w:color="auto" w:fill="F2F7FB"/>
            <w:vAlign w:val="center"/>
          </w:tcPr>
          <w:p w:rsidR="0040783B" w:rsidRDefault="0040783B" w:rsidP="00AE7FF4">
            <w:pPr>
              <w:spacing w:line="259" w:lineRule="auto"/>
            </w:pPr>
            <w:r>
              <w:rPr>
                <w:sz w:val="21"/>
              </w:rPr>
              <w:t xml:space="preserve"> </w:t>
            </w:r>
          </w:p>
        </w:tc>
        <w:tc>
          <w:tcPr>
            <w:tcW w:w="1527" w:type="dxa"/>
            <w:gridSpan w:val="2"/>
            <w:tcBorders>
              <w:top w:val="single" w:sz="6" w:space="0" w:color="000000"/>
              <w:left w:val="nil"/>
              <w:bottom w:val="single" w:sz="6" w:space="0" w:color="000000"/>
              <w:right w:val="nil"/>
            </w:tcBorders>
            <w:shd w:val="clear" w:color="auto" w:fill="F2F7FB"/>
            <w:vAlign w:val="center"/>
          </w:tcPr>
          <w:p w:rsidR="0040783B" w:rsidRDefault="0040783B" w:rsidP="00AE7FF4">
            <w:pPr>
              <w:spacing w:line="259" w:lineRule="auto"/>
            </w:pPr>
            <w:r>
              <w:rPr>
                <w:rFonts w:ascii="Calibri" w:eastAsia="Calibri" w:hAnsi="Calibri" w:cs="Calibri"/>
                <w:b/>
                <w:sz w:val="21"/>
              </w:rPr>
              <w:t>X</w:t>
            </w:r>
          </w:p>
        </w:tc>
        <w:tc>
          <w:tcPr>
            <w:tcW w:w="1495" w:type="dxa"/>
            <w:gridSpan w:val="2"/>
            <w:tcBorders>
              <w:top w:val="single" w:sz="6" w:space="0" w:color="000000"/>
              <w:left w:val="nil"/>
              <w:bottom w:val="single" w:sz="6" w:space="0" w:color="000000"/>
              <w:right w:val="nil"/>
            </w:tcBorders>
            <w:shd w:val="clear" w:color="auto" w:fill="F2F7FB"/>
            <w:vAlign w:val="center"/>
          </w:tcPr>
          <w:p w:rsidR="0040783B" w:rsidRDefault="0040783B" w:rsidP="00AE7FF4">
            <w:pPr>
              <w:spacing w:line="259" w:lineRule="auto"/>
            </w:pPr>
            <w:r>
              <w:rPr>
                <w:sz w:val="21"/>
              </w:rPr>
              <w:t xml:space="preserve"> </w:t>
            </w:r>
          </w:p>
        </w:tc>
        <w:tc>
          <w:tcPr>
            <w:tcW w:w="1287" w:type="dxa"/>
            <w:tcBorders>
              <w:top w:val="single" w:sz="6" w:space="0" w:color="000000"/>
              <w:left w:val="nil"/>
              <w:bottom w:val="single" w:sz="6" w:space="0" w:color="000000"/>
              <w:right w:val="nil"/>
            </w:tcBorders>
            <w:shd w:val="clear" w:color="auto" w:fill="F2F7FB"/>
            <w:vAlign w:val="center"/>
          </w:tcPr>
          <w:p w:rsidR="0040783B" w:rsidRDefault="0040783B" w:rsidP="00AE7FF4">
            <w:pPr>
              <w:spacing w:line="259" w:lineRule="auto"/>
            </w:pPr>
            <w:r>
              <w:rPr>
                <w:sz w:val="21"/>
              </w:rPr>
              <w:t xml:space="preserve"> </w:t>
            </w:r>
          </w:p>
        </w:tc>
      </w:tr>
      <w:tr w:rsidR="0040783B" w:rsidTr="00AE7FF4">
        <w:trPr>
          <w:trHeight w:val="722"/>
        </w:trPr>
        <w:tc>
          <w:tcPr>
            <w:tcW w:w="3230" w:type="dxa"/>
            <w:gridSpan w:val="2"/>
            <w:tcBorders>
              <w:top w:val="single" w:sz="6" w:space="0" w:color="000000"/>
              <w:left w:val="nil"/>
              <w:bottom w:val="single" w:sz="6" w:space="0" w:color="000000"/>
              <w:right w:val="nil"/>
            </w:tcBorders>
            <w:shd w:val="clear" w:color="auto" w:fill="DEEAF6"/>
            <w:vAlign w:val="center"/>
          </w:tcPr>
          <w:p w:rsidR="0040783B" w:rsidRDefault="0040783B" w:rsidP="00AE7FF4">
            <w:pPr>
              <w:spacing w:line="259" w:lineRule="auto"/>
              <w:ind w:left="208" w:right="263"/>
            </w:pPr>
            <w:r>
              <w:rPr>
                <w:rFonts w:ascii="Calibri" w:eastAsia="Calibri" w:hAnsi="Calibri" w:cs="Calibri"/>
                <w:b/>
                <w:sz w:val="21"/>
              </w:rPr>
              <w:t>Антибактериальные препараты Rifamycin*</w:t>
            </w:r>
          </w:p>
        </w:tc>
        <w:tc>
          <w:tcPr>
            <w:tcW w:w="1495" w:type="dxa"/>
            <w:gridSpan w:val="2"/>
            <w:tcBorders>
              <w:top w:val="single" w:sz="6" w:space="0" w:color="000000"/>
              <w:left w:val="nil"/>
              <w:bottom w:val="single" w:sz="6" w:space="0" w:color="000000"/>
              <w:right w:val="nil"/>
            </w:tcBorders>
            <w:shd w:val="clear" w:color="auto" w:fill="DEEAF6"/>
          </w:tcPr>
          <w:p w:rsidR="0040783B" w:rsidRDefault="0040783B" w:rsidP="00AE7FF4">
            <w:pPr>
              <w:spacing w:line="259" w:lineRule="auto"/>
            </w:pPr>
            <w:r>
              <w:rPr>
                <w:rFonts w:ascii="Calibri" w:eastAsia="Calibri" w:hAnsi="Calibri" w:cs="Calibri"/>
                <w:b/>
                <w:sz w:val="21"/>
              </w:rPr>
              <w:t>X</w:t>
            </w:r>
          </w:p>
        </w:tc>
        <w:tc>
          <w:tcPr>
            <w:tcW w:w="1495" w:type="dxa"/>
            <w:gridSpan w:val="2"/>
            <w:tcBorders>
              <w:top w:val="single" w:sz="6" w:space="0" w:color="000000"/>
              <w:left w:val="nil"/>
              <w:bottom w:val="single" w:sz="6" w:space="0" w:color="000000"/>
              <w:right w:val="nil"/>
            </w:tcBorders>
            <w:shd w:val="clear" w:color="auto" w:fill="DEEAF6"/>
          </w:tcPr>
          <w:p w:rsidR="0040783B" w:rsidRDefault="0040783B" w:rsidP="00AE7FF4">
            <w:pPr>
              <w:spacing w:line="259" w:lineRule="auto"/>
            </w:pPr>
            <w:r>
              <w:rPr>
                <w:rFonts w:ascii="Calibri" w:eastAsia="Calibri" w:hAnsi="Calibri" w:cs="Calibri"/>
                <w:b/>
                <w:sz w:val="21"/>
              </w:rPr>
              <w:t>X</w:t>
            </w:r>
          </w:p>
        </w:tc>
        <w:tc>
          <w:tcPr>
            <w:tcW w:w="1527" w:type="dxa"/>
            <w:gridSpan w:val="2"/>
            <w:tcBorders>
              <w:top w:val="single" w:sz="6" w:space="0" w:color="000000"/>
              <w:left w:val="nil"/>
              <w:bottom w:val="single" w:sz="6" w:space="0" w:color="000000"/>
              <w:right w:val="nil"/>
            </w:tcBorders>
            <w:shd w:val="clear" w:color="auto" w:fill="DEEAF6"/>
          </w:tcPr>
          <w:p w:rsidR="0040783B" w:rsidRDefault="0040783B" w:rsidP="00AE7FF4">
            <w:pPr>
              <w:spacing w:line="259" w:lineRule="auto"/>
            </w:pPr>
            <w:r>
              <w:rPr>
                <w:rFonts w:ascii="Calibri" w:eastAsia="Calibri" w:hAnsi="Calibri" w:cs="Calibri"/>
                <w:b/>
                <w:sz w:val="21"/>
              </w:rPr>
              <w:t>X</w:t>
            </w:r>
          </w:p>
        </w:tc>
        <w:tc>
          <w:tcPr>
            <w:tcW w:w="1495" w:type="dxa"/>
            <w:gridSpan w:val="2"/>
            <w:tcBorders>
              <w:top w:val="single" w:sz="6" w:space="0" w:color="000000"/>
              <w:left w:val="nil"/>
              <w:bottom w:val="single" w:sz="6" w:space="0" w:color="000000"/>
              <w:right w:val="nil"/>
            </w:tcBorders>
            <w:shd w:val="clear" w:color="auto" w:fill="DEEAF6"/>
          </w:tcPr>
          <w:p w:rsidR="0040783B" w:rsidRDefault="0040783B" w:rsidP="00AE7FF4">
            <w:pPr>
              <w:spacing w:line="259" w:lineRule="auto"/>
            </w:pPr>
            <w:r>
              <w:rPr>
                <w:rFonts w:ascii="Calibri" w:eastAsia="Calibri" w:hAnsi="Calibri" w:cs="Calibri"/>
                <w:b/>
                <w:sz w:val="21"/>
              </w:rPr>
              <w:t>X</w:t>
            </w:r>
          </w:p>
        </w:tc>
        <w:tc>
          <w:tcPr>
            <w:tcW w:w="1287" w:type="dxa"/>
            <w:tcBorders>
              <w:top w:val="single" w:sz="6" w:space="0" w:color="000000"/>
              <w:left w:val="nil"/>
              <w:bottom w:val="single" w:sz="6" w:space="0" w:color="000000"/>
              <w:right w:val="nil"/>
            </w:tcBorders>
            <w:shd w:val="clear" w:color="auto" w:fill="DEEAF6"/>
          </w:tcPr>
          <w:p w:rsidR="0040783B" w:rsidRDefault="0040783B" w:rsidP="00AE7FF4">
            <w:pPr>
              <w:spacing w:line="259" w:lineRule="auto"/>
            </w:pPr>
            <w:r>
              <w:rPr>
                <w:rFonts w:ascii="Calibri" w:eastAsia="Calibri" w:hAnsi="Calibri" w:cs="Calibri"/>
                <w:b/>
                <w:sz w:val="21"/>
              </w:rPr>
              <w:t>X</w:t>
            </w:r>
          </w:p>
        </w:tc>
      </w:tr>
      <w:tr w:rsidR="0040783B" w:rsidTr="00AE7FF4">
        <w:trPr>
          <w:trHeight w:val="472"/>
        </w:trPr>
        <w:tc>
          <w:tcPr>
            <w:tcW w:w="3230" w:type="dxa"/>
            <w:gridSpan w:val="2"/>
            <w:tcBorders>
              <w:top w:val="single" w:sz="6" w:space="0" w:color="000000"/>
              <w:left w:val="nil"/>
              <w:bottom w:val="single" w:sz="6" w:space="0" w:color="000000"/>
              <w:right w:val="nil"/>
            </w:tcBorders>
            <w:shd w:val="clear" w:color="auto" w:fill="F2F7FB"/>
            <w:vAlign w:val="center"/>
          </w:tcPr>
          <w:p w:rsidR="0040783B" w:rsidRDefault="0040783B" w:rsidP="00AE7FF4">
            <w:pPr>
              <w:spacing w:line="259" w:lineRule="auto"/>
              <w:ind w:left="208"/>
            </w:pPr>
            <w:r>
              <w:rPr>
                <w:rFonts w:ascii="Calibri" w:eastAsia="Calibri" w:hAnsi="Calibri" w:cs="Calibri"/>
                <w:b/>
                <w:sz w:val="21"/>
              </w:rPr>
              <w:t>Salmeterol</w:t>
            </w:r>
          </w:p>
        </w:tc>
        <w:tc>
          <w:tcPr>
            <w:tcW w:w="1495" w:type="dxa"/>
            <w:gridSpan w:val="2"/>
            <w:tcBorders>
              <w:top w:val="single" w:sz="6" w:space="0" w:color="000000"/>
              <w:left w:val="nil"/>
              <w:bottom w:val="single" w:sz="6" w:space="0" w:color="000000"/>
              <w:right w:val="nil"/>
            </w:tcBorders>
            <w:shd w:val="clear" w:color="auto" w:fill="F2F7FB"/>
            <w:vAlign w:val="center"/>
          </w:tcPr>
          <w:p w:rsidR="0040783B" w:rsidRDefault="0040783B" w:rsidP="00AE7FF4">
            <w:pPr>
              <w:spacing w:line="259" w:lineRule="auto"/>
            </w:pPr>
            <w:r>
              <w:rPr>
                <w:sz w:val="21"/>
              </w:rPr>
              <w:t xml:space="preserve"> </w:t>
            </w:r>
          </w:p>
        </w:tc>
        <w:tc>
          <w:tcPr>
            <w:tcW w:w="1495" w:type="dxa"/>
            <w:gridSpan w:val="2"/>
            <w:tcBorders>
              <w:top w:val="single" w:sz="6" w:space="0" w:color="000000"/>
              <w:left w:val="nil"/>
              <w:bottom w:val="single" w:sz="6" w:space="0" w:color="000000"/>
              <w:right w:val="nil"/>
            </w:tcBorders>
            <w:shd w:val="clear" w:color="auto" w:fill="F2F7FB"/>
            <w:vAlign w:val="center"/>
          </w:tcPr>
          <w:p w:rsidR="0040783B" w:rsidRDefault="0040783B" w:rsidP="00AE7FF4">
            <w:pPr>
              <w:spacing w:line="259" w:lineRule="auto"/>
            </w:pPr>
            <w:r>
              <w:rPr>
                <w:sz w:val="21"/>
              </w:rPr>
              <w:t xml:space="preserve"> </w:t>
            </w:r>
          </w:p>
        </w:tc>
        <w:tc>
          <w:tcPr>
            <w:tcW w:w="1527" w:type="dxa"/>
            <w:gridSpan w:val="2"/>
            <w:tcBorders>
              <w:top w:val="single" w:sz="6" w:space="0" w:color="000000"/>
              <w:left w:val="nil"/>
              <w:bottom w:val="single" w:sz="6" w:space="0" w:color="000000"/>
              <w:right w:val="nil"/>
            </w:tcBorders>
            <w:shd w:val="clear" w:color="auto" w:fill="F2F7FB"/>
            <w:vAlign w:val="center"/>
          </w:tcPr>
          <w:p w:rsidR="0040783B" w:rsidRDefault="0040783B" w:rsidP="00AE7FF4">
            <w:pPr>
              <w:spacing w:line="259" w:lineRule="auto"/>
            </w:pPr>
            <w:r>
              <w:rPr>
                <w:rFonts w:ascii="Calibri" w:eastAsia="Calibri" w:hAnsi="Calibri" w:cs="Calibri"/>
                <w:b/>
                <w:sz w:val="21"/>
              </w:rPr>
              <w:t>X</w:t>
            </w:r>
          </w:p>
        </w:tc>
        <w:tc>
          <w:tcPr>
            <w:tcW w:w="1495" w:type="dxa"/>
            <w:gridSpan w:val="2"/>
            <w:tcBorders>
              <w:top w:val="single" w:sz="6" w:space="0" w:color="000000"/>
              <w:left w:val="nil"/>
              <w:bottom w:val="single" w:sz="6" w:space="0" w:color="000000"/>
              <w:right w:val="nil"/>
            </w:tcBorders>
            <w:shd w:val="clear" w:color="auto" w:fill="F2F7FB"/>
            <w:vAlign w:val="center"/>
          </w:tcPr>
          <w:p w:rsidR="0040783B" w:rsidRDefault="0040783B" w:rsidP="00AE7FF4">
            <w:pPr>
              <w:spacing w:line="259" w:lineRule="auto"/>
            </w:pPr>
            <w:r>
              <w:rPr>
                <w:sz w:val="21"/>
              </w:rPr>
              <w:t xml:space="preserve"> </w:t>
            </w:r>
          </w:p>
        </w:tc>
        <w:tc>
          <w:tcPr>
            <w:tcW w:w="1287" w:type="dxa"/>
            <w:tcBorders>
              <w:top w:val="single" w:sz="6" w:space="0" w:color="000000"/>
              <w:left w:val="nil"/>
              <w:bottom w:val="single" w:sz="6" w:space="0" w:color="000000"/>
              <w:right w:val="nil"/>
            </w:tcBorders>
            <w:shd w:val="clear" w:color="auto" w:fill="F2F7FB"/>
            <w:vAlign w:val="center"/>
          </w:tcPr>
          <w:p w:rsidR="0040783B" w:rsidRDefault="0040783B" w:rsidP="00AE7FF4">
            <w:pPr>
              <w:spacing w:line="259" w:lineRule="auto"/>
            </w:pPr>
            <w:r>
              <w:rPr>
                <w:sz w:val="21"/>
              </w:rPr>
              <w:t xml:space="preserve"> </w:t>
            </w:r>
          </w:p>
        </w:tc>
      </w:tr>
      <w:tr w:rsidR="0040783B" w:rsidTr="00AE7FF4">
        <w:trPr>
          <w:trHeight w:val="472"/>
        </w:trPr>
        <w:tc>
          <w:tcPr>
            <w:tcW w:w="3230" w:type="dxa"/>
            <w:gridSpan w:val="2"/>
            <w:tcBorders>
              <w:top w:val="single" w:sz="6" w:space="0" w:color="000000"/>
              <w:left w:val="nil"/>
              <w:bottom w:val="single" w:sz="6" w:space="0" w:color="000000"/>
              <w:right w:val="nil"/>
            </w:tcBorders>
            <w:shd w:val="clear" w:color="auto" w:fill="DEEAF6"/>
            <w:vAlign w:val="center"/>
          </w:tcPr>
          <w:p w:rsidR="0040783B" w:rsidRDefault="0040783B" w:rsidP="00AE7FF4">
            <w:pPr>
              <w:spacing w:line="259" w:lineRule="auto"/>
              <w:ind w:left="208"/>
            </w:pPr>
            <w:r>
              <w:rPr>
                <w:rFonts w:ascii="Calibri" w:eastAsia="Calibri" w:hAnsi="Calibri" w:cs="Calibri"/>
                <w:b/>
                <w:sz w:val="21"/>
              </w:rPr>
              <w:t>Седативные средства*</w:t>
            </w:r>
          </w:p>
        </w:tc>
        <w:tc>
          <w:tcPr>
            <w:tcW w:w="1495" w:type="dxa"/>
            <w:gridSpan w:val="2"/>
            <w:tcBorders>
              <w:top w:val="single" w:sz="6" w:space="0" w:color="000000"/>
              <w:left w:val="nil"/>
              <w:bottom w:val="single" w:sz="6" w:space="0" w:color="000000"/>
              <w:right w:val="nil"/>
            </w:tcBorders>
            <w:shd w:val="clear" w:color="auto" w:fill="DEEAF6"/>
            <w:vAlign w:val="center"/>
          </w:tcPr>
          <w:p w:rsidR="0040783B" w:rsidRDefault="0040783B" w:rsidP="00AE7FF4">
            <w:pPr>
              <w:spacing w:line="259" w:lineRule="auto"/>
            </w:pPr>
            <w:r>
              <w:rPr>
                <w:sz w:val="21"/>
              </w:rPr>
              <w:t xml:space="preserve"> </w:t>
            </w:r>
          </w:p>
        </w:tc>
        <w:tc>
          <w:tcPr>
            <w:tcW w:w="1495" w:type="dxa"/>
            <w:gridSpan w:val="2"/>
            <w:tcBorders>
              <w:top w:val="single" w:sz="6" w:space="0" w:color="000000"/>
              <w:left w:val="nil"/>
              <w:bottom w:val="single" w:sz="6" w:space="0" w:color="000000"/>
              <w:right w:val="nil"/>
            </w:tcBorders>
            <w:shd w:val="clear" w:color="auto" w:fill="DEEAF6"/>
            <w:vAlign w:val="center"/>
          </w:tcPr>
          <w:p w:rsidR="0040783B" w:rsidRDefault="0040783B" w:rsidP="00AE7FF4">
            <w:pPr>
              <w:spacing w:line="259" w:lineRule="auto"/>
            </w:pPr>
            <w:r>
              <w:rPr>
                <w:sz w:val="21"/>
              </w:rPr>
              <w:t xml:space="preserve"> </w:t>
            </w:r>
          </w:p>
        </w:tc>
        <w:tc>
          <w:tcPr>
            <w:tcW w:w="1527" w:type="dxa"/>
            <w:gridSpan w:val="2"/>
            <w:tcBorders>
              <w:top w:val="single" w:sz="6" w:space="0" w:color="000000"/>
              <w:left w:val="nil"/>
              <w:bottom w:val="single" w:sz="6" w:space="0" w:color="000000"/>
              <w:right w:val="nil"/>
            </w:tcBorders>
            <w:shd w:val="clear" w:color="auto" w:fill="DEEAF6"/>
            <w:vAlign w:val="center"/>
          </w:tcPr>
          <w:p w:rsidR="0040783B" w:rsidRDefault="0040783B" w:rsidP="00AE7FF4">
            <w:pPr>
              <w:spacing w:line="259" w:lineRule="auto"/>
            </w:pPr>
            <w:r>
              <w:rPr>
                <w:rFonts w:ascii="Calibri" w:eastAsia="Calibri" w:hAnsi="Calibri" w:cs="Calibri"/>
                <w:b/>
                <w:sz w:val="21"/>
              </w:rPr>
              <w:t>X</w:t>
            </w:r>
          </w:p>
        </w:tc>
        <w:tc>
          <w:tcPr>
            <w:tcW w:w="1495" w:type="dxa"/>
            <w:gridSpan w:val="2"/>
            <w:tcBorders>
              <w:top w:val="single" w:sz="6" w:space="0" w:color="000000"/>
              <w:left w:val="nil"/>
              <w:bottom w:val="single" w:sz="6" w:space="0" w:color="000000"/>
              <w:right w:val="nil"/>
            </w:tcBorders>
            <w:shd w:val="clear" w:color="auto" w:fill="DEEAF6"/>
            <w:vAlign w:val="center"/>
          </w:tcPr>
          <w:p w:rsidR="0040783B" w:rsidRDefault="0040783B" w:rsidP="00AE7FF4">
            <w:pPr>
              <w:spacing w:line="259" w:lineRule="auto"/>
            </w:pPr>
            <w:r>
              <w:rPr>
                <w:rFonts w:ascii="Calibri" w:eastAsia="Calibri" w:hAnsi="Calibri" w:cs="Calibri"/>
                <w:b/>
                <w:sz w:val="21"/>
              </w:rPr>
              <w:t>X</w:t>
            </w:r>
          </w:p>
        </w:tc>
        <w:tc>
          <w:tcPr>
            <w:tcW w:w="1287" w:type="dxa"/>
            <w:tcBorders>
              <w:top w:val="single" w:sz="6" w:space="0" w:color="000000"/>
              <w:left w:val="nil"/>
              <w:bottom w:val="single" w:sz="6" w:space="0" w:color="000000"/>
              <w:right w:val="nil"/>
            </w:tcBorders>
            <w:shd w:val="clear" w:color="auto" w:fill="DEEAF6"/>
            <w:vAlign w:val="center"/>
          </w:tcPr>
          <w:p w:rsidR="0040783B" w:rsidRDefault="0040783B" w:rsidP="00AE7FF4">
            <w:pPr>
              <w:spacing w:line="259" w:lineRule="auto"/>
            </w:pPr>
            <w:r>
              <w:rPr>
                <w:sz w:val="21"/>
              </w:rPr>
              <w:t xml:space="preserve"> </w:t>
            </w:r>
          </w:p>
        </w:tc>
      </w:tr>
      <w:tr w:rsidR="0040783B" w:rsidTr="00AE7FF4">
        <w:trPr>
          <w:trHeight w:val="472"/>
        </w:trPr>
        <w:tc>
          <w:tcPr>
            <w:tcW w:w="3230" w:type="dxa"/>
            <w:gridSpan w:val="2"/>
            <w:tcBorders>
              <w:top w:val="single" w:sz="6" w:space="0" w:color="000000"/>
              <w:left w:val="nil"/>
              <w:bottom w:val="single" w:sz="6" w:space="0" w:color="000000"/>
              <w:right w:val="nil"/>
            </w:tcBorders>
            <w:shd w:val="clear" w:color="auto" w:fill="F2F7FB"/>
            <w:vAlign w:val="center"/>
          </w:tcPr>
          <w:p w:rsidR="0040783B" w:rsidRDefault="0040783B" w:rsidP="00AE7FF4">
            <w:pPr>
              <w:spacing w:line="259" w:lineRule="auto"/>
              <w:ind w:left="208"/>
            </w:pPr>
            <w:r>
              <w:rPr>
                <w:rFonts w:ascii="Calibri" w:eastAsia="Calibri" w:hAnsi="Calibri" w:cs="Calibri"/>
                <w:b/>
                <w:sz w:val="21"/>
              </w:rPr>
              <w:t>Simeprevir</w:t>
            </w:r>
          </w:p>
        </w:tc>
        <w:tc>
          <w:tcPr>
            <w:tcW w:w="1495" w:type="dxa"/>
            <w:gridSpan w:val="2"/>
            <w:tcBorders>
              <w:top w:val="single" w:sz="6" w:space="0" w:color="000000"/>
              <w:left w:val="nil"/>
              <w:bottom w:val="single" w:sz="6" w:space="0" w:color="000000"/>
              <w:right w:val="nil"/>
            </w:tcBorders>
            <w:shd w:val="clear" w:color="auto" w:fill="F2F7FB"/>
            <w:vAlign w:val="center"/>
          </w:tcPr>
          <w:p w:rsidR="0040783B" w:rsidRDefault="0040783B" w:rsidP="00AE7FF4">
            <w:pPr>
              <w:spacing w:line="259" w:lineRule="auto"/>
            </w:pPr>
            <w:r>
              <w:rPr>
                <w:sz w:val="21"/>
              </w:rPr>
              <w:t xml:space="preserve"> </w:t>
            </w:r>
          </w:p>
        </w:tc>
        <w:tc>
          <w:tcPr>
            <w:tcW w:w="1495" w:type="dxa"/>
            <w:gridSpan w:val="2"/>
            <w:tcBorders>
              <w:top w:val="single" w:sz="6" w:space="0" w:color="000000"/>
              <w:left w:val="nil"/>
              <w:bottom w:val="single" w:sz="6" w:space="0" w:color="000000"/>
              <w:right w:val="nil"/>
            </w:tcBorders>
            <w:shd w:val="clear" w:color="auto" w:fill="F2F7FB"/>
            <w:vAlign w:val="center"/>
          </w:tcPr>
          <w:p w:rsidR="0040783B" w:rsidRDefault="0040783B" w:rsidP="00AE7FF4">
            <w:pPr>
              <w:spacing w:line="259" w:lineRule="auto"/>
            </w:pPr>
            <w:r>
              <w:rPr>
                <w:rFonts w:ascii="Calibri" w:eastAsia="Calibri" w:hAnsi="Calibri" w:cs="Calibri"/>
                <w:b/>
                <w:sz w:val="21"/>
              </w:rPr>
              <w:t>X</w:t>
            </w:r>
          </w:p>
        </w:tc>
        <w:tc>
          <w:tcPr>
            <w:tcW w:w="1527" w:type="dxa"/>
            <w:gridSpan w:val="2"/>
            <w:tcBorders>
              <w:top w:val="single" w:sz="6" w:space="0" w:color="000000"/>
              <w:left w:val="nil"/>
              <w:bottom w:val="single" w:sz="6" w:space="0" w:color="000000"/>
              <w:right w:val="nil"/>
            </w:tcBorders>
            <w:shd w:val="clear" w:color="auto" w:fill="F2F7FB"/>
            <w:vAlign w:val="center"/>
          </w:tcPr>
          <w:p w:rsidR="0040783B" w:rsidRDefault="0040783B" w:rsidP="00AE7FF4">
            <w:pPr>
              <w:spacing w:line="259" w:lineRule="auto"/>
            </w:pPr>
            <w:r>
              <w:rPr>
                <w:sz w:val="21"/>
              </w:rPr>
              <w:t xml:space="preserve"> </w:t>
            </w:r>
          </w:p>
        </w:tc>
        <w:tc>
          <w:tcPr>
            <w:tcW w:w="1495" w:type="dxa"/>
            <w:gridSpan w:val="2"/>
            <w:tcBorders>
              <w:top w:val="single" w:sz="6" w:space="0" w:color="000000"/>
              <w:left w:val="nil"/>
              <w:bottom w:val="single" w:sz="6" w:space="0" w:color="000000"/>
              <w:right w:val="nil"/>
            </w:tcBorders>
            <w:shd w:val="clear" w:color="auto" w:fill="F2F7FB"/>
            <w:vAlign w:val="center"/>
          </w:tcPr>
          <w:p w:rsidR="0040783B" w:rsidRDefault="0040783B" w:rsidP="00AE7FF4">
            <w:pPr>
              <w:spacing w:line="259" w:lineRule="auto"/>
            </w:pPr>
            <w:r>
              <w:rPr>
                <w:sz w:val="21"/>
              </w:rPr>
              <w:t xml:space="preserve"> </w:t>
            </w:r>
          </w:p>
        </w:tc>
        <w:tc>
          <w:tcPr>
            <w:tcW w:w="1287" w:type="dxa"/>
            <w:tcBorders>
              <w:top w:val="single" w:sz="6" w:space="0" w:color="000000"/>
              <w:left w:val="nil"/>
              <w:bottom w:val="single" w:sz="6" w:space="0" w:color="000000"/>
              <w:right w:val="nil"/>
            </w:tcBorders>
            <w:shd w:val="clear" w:color="auto" w:fill="F2F7FB"/>
            <w:vAlign w:val="center"/>
          </w:tcPr>
          <w:p w:rsidR="0040783B" w:rsidRDefault="0040783B" w:rsidP="00AE7FF4">
            <w:pPr>
              <w:spacing w:line="259" w:lineRule="auto"/>
            </w:pPr>
            <w:r>
              <w:rPr>
                <w:sz w:val="21"/>
              </w:rPr>
              <w:t xml:space="preserve"> </w:t>
            </w:r>
          </w:p>
        </w:tc>
      </w:tr>
      <w:tr w:rsidR="0040783B" w:rsidTr="00AE7FF4">
        <w:trPr>
          <w:trHeight w:val="472"/>
        </w:trPr>
        <w:tc>
          <w:tcPr>
            <w:tcW w:w="3230" w:type="dxa"/>
            <w:gridSpan w:val="2"/>
            <w:tcBorders>
              <w:top w:val="single" w:sz="6" w:space="0" w:color="000000"/>
              <w:left w:val="nil"/>
              <w:bottom w:val="single" w:sz="6" w:space="0" w:color="000000"/>
              <w:right w:val="nil"/>
            </w:tcBorders>
            <w:shd w:val="clear" w:color="auto" w:fill="DEEAF6"/>
            <w:vAlign w:val="center"/>
          </w:tcPr>
          <w:p w:rsidR="0040783B" w:rsidRDefault="0040783B" w:rsidP="00AE7FF4">
            <w:pPr>
              <w:spacing w:line="259" w:lineRule="auto"/>
              <w:ind w:left="208"/>
            </w:pPr>
            <w:r>
              <w:rPr>
                <w:rFonts w:ascii="Calibri" w:eastAsia="Calibri" w:hAnsi="Calibri" w:cs="Calibri"/>
                <w:b/>
                <w:sz w:val="21"/>
              </w:rPr>
              <w:t>Статины*</w:t>
            </w:r>
          </w:p>
        </w:tc>
        <w:tc>
          <w:tcPr>
            <w:tcW w:w="1495" w:type="dxa"/>
            <w:gridSpan w:val="2"/>
            <w:tcBorders>
              <w:top w:val="single" w:sz="6" w:space="0" w:color="000000"/>
              <w:left w:val="nil"/>
              <w:bottom w:val="single" w:sz="6" w:space="0" w:color="000000"/>
              <w:right w:val="nil"/>
            </w:tcBorders>
            <w:shd w:val="clear" w:color="auto" w:fill="DEEAF6"/>
            <w:vAlign w:val="center"/>
          </w:tcPr>
          <w:p w:rsidR="0040783B" w:rsidRDefault="0040783B" w:rsidP="00AE7FF4">
            <w:pPr>
              <w:spacing w:line="259" w:lineRule="auto"/>
            </w:pPr>
            <w:r>
              <w:rPr>
                <w:rFonts w:ascii="Calibri" w:eastAsia="Calibri" w:hAnsi="Calibri" w:cs="Calibri"/>
                <w:b/>
                <w:sz w:val="21"/>
              </w:rPr>
              <w:t>X</w:t>
            </w:r>
          </w:p>
        </w:tc>
        <w:tc>
          <w:tcPr>
            <w:tcW w:w="1495" w:type="dxa"/>
            <w:gridSpan w:val="2"/>
            <w:tcBorders>
              <w:top w:val="single" w:sz="6" w:space="0" w:color="000000"/>
              <w:left w:val="nil"/>
              <w:bottom w:val="single" w:sz="6" w:space="0" w:color="000000"/>
              <w:right w:val="nil"/>
            </w:tcBorders>
            <w:shd w:val="clear" w:color="auto" w:fill="DEEAF6"/>
            <w:vAlign w:val="center"/>
          </w:tcPr>
          <w:p w:rsidR="0040783B" w:rsidRDefault="0040783B" w:rsidP="00AE7FF4">
            <w:pPr>
              <w:spacing w:line="259" w:lineRule="auto"/>
            </w:pPr>
            <w:r>
              <w:rPr>
                <w:rFonts w:ascii="Calibri" w:eastAsia="Calibri" w:hAnsi="Calibri" w:cs="Calibri"/>
                <w:b/>
                <w:sz w:val="21"/>
              </w:rPr>
              <w:t>X</w:t>
            </w:r>
          </w:p>
        </w:tc>
        <w:tc>
          <w:tcPr>
            <w:tcW w:w="1527" w:type="dxa"/>
            <w:gridSpan w:val="2"/>
            <w:tcBorders>
              <w:top w:val="single" w:sz="6" w:space="0" w:color="000000"/>
              <w:left w:val="nil"/>
              <w:bottom w:val="single" w:sz="6" w:space="0" w:color="000000"/>
              <w:right w:val="nil"/>
            </w:tcBorders>
            <w:shd w:val="clear" w:color="auto" w:fill="DEEAF6"/>
            <w:vAlign w:val="center"/>
          </w:tcPr>
          <w:p w:rsidR="0040783B" w:rsidRDefault="0040783B" w:rsidP="00AE7FF4">
            <w:pPr>
              <w:spacing w:line="259" w:lineRule="auto"/>
            </w:pPr>
            <w:r>
              <w:rPr>
                <w:rFonts w:ascii="Calibri" w:eastAsia="Calibri" w:hAnsi="Calibri" w:cs="Calibri"/>
                <w:b/>
                <w:sz w:val="21"/>
              </w:rPr>
              <w:t>X</w:t>
            </w:r>
          </w:p>
        </w:tc>
        <w:tc>
          <w:tcPr>
            <w:tcW w:w="1495" w:type="dxa"/>
            <w:gridSpan w:val="2"/>
            <w:tcBorders>
              <w:top w:val="single" w:sz="6" w:space="0" w:color="000000"/>
              <w:left w:val="nil"/>
              <w:bottom w:val="single" w:sz="6" w:space="0" w:color="000000"/>
              <w:right w:val="nil"/>
            </w:tcBorders>
            <w:shd w:val="clear" w:color="auto" w:fill="DEEAF6"/>
            <w:vAlign w:val="center"/>
          </w:tcPr>
          <w:p w:rsidR="0040783B" w:rsidRDefault="0040783B" w:rsidP="00AE7FF4">
            <w:pPr>
              <w:spacing w:line="259" w:lineRule="auto"/>
            </w:pPr>
            <w:r>
              <w:rPr>
                <w:rFonts w:ascii="Calibri" w:eastAsia="Calibri" w:hAnsi="Calibri" w:cs="Calibri"/>
                <w:b/>
                <w:sz w:val="21"/>
              </w:rPr>
              <w:t>X</w:t>
            </w:r>
          </w:p>
        </w:tc>
        <w:tc>
          <w:tcPr>
            <w:tcW w:w="1287" w:type="dxa"/>
            <w:tcBorders>
              <w:top w:val="single" w:sz="6" w:space="0" w:color="000000"/>
              <w:left w:val="nil"/>
              <w:bottom w:val="single" w:sz="6" w:space="0" w:color="000000"/>
              <w:right w:val="nil"/>
            </w:tcBorders>
            <w:shd w:val="clear" w:color="auto" w:fill="DEEAF6"/>
            <w:vAlign w:val="center"/>
          </w:tcPr>
          <w:p w:rsidR="0040783B" w:rsidRDefault="0040783B" w:rsidP="00AE7FF4">
            <w:pPr>
              <w:spacing w:line="259" w:lineRule="auto"/>
            </w:pPr>
            <w:r>
              <w:rPr>
                <w:sz w:val="21"/>
              </w:rPr>
              <w:t xml:space="preserve"> </w:t>
            </w:r>
          </w:p>
        </w:tc>
      </w:tr>
    </w:tbl>
    <w:p w:rsidR="0040783B" w:rsidRDefault="0040783B" w:rsidP="00E36270">
      <w:pPr>
        <w:spacing w:after="0" w:line="265" w:lineRule="auto"/>
        <w:ind w:left="-5"/>
      </w:pPr>
      <w:r>
        <w:rPr>
          <w:rFonts w:ascii="Calibri" w:eastAsia="Calibri" w:hAnsi="Calibri" w:cs="Calibri"/>
          <w:b/>
          <w:sz w:val="24"/>
        </w:rPr>
        <w:t>*Некоторые лекарственные взаимодействия не являются определенным классом; посмотрите, что продукт предписывает информацию для определенных препаратов в пределах класса.</w:t>
      </w:r>
    </w:p>
    <w:p w:rsidR="0040783B" w:rsidRDefault="0040783B" w:rsidP="00E36270">
      <w:pPr>
        <w:spacing w:after="414" w:line="265" w:lineRule="auto"/>
        <w:ind w:left="-5"/>
      </w:pPr>
      <w:r>
        <w:rPr>
          <w:rFonts w:ascii="Calibri" w:eastAsia="Calibri" w:hAnsi="Calibri" w:cs="Calibri"/>
          <w:b/>
          <w:sz w:val="24"/>
        </w:rPr>
        <w:t>** Требует daclatasvir модификации дозы</w:t>
      </w:r>
    </w:p>
    <w:p w:rsidR="0040783B" w:rsidRDefault="0040783B" w:rsidP="00E36270">
      <w:pPr>
        <w:spacing w:after="490" w:line="265" w:lineRule="auto"/>
        <w:ind w:left="-5"/>
      </w:pPr>
      <w:r>
        <w:rPr>
          <w:rFonts w:ascii="Calibri" w:eastAsia="Calibri" w:hAnsi="Calibri" w:cs="Calibri"/>
          <w:i/>
        </w:rPr>
        <w:t>Изменения, внесенные 11 декабря 2015</w:t>
      </w:r>
    </w:p>
    <w:p w:rsidR="0040783B" w:rsidRDefault="0040783B" w:rsidP="00E36270">
      <w:pPr>
        <w:spacing w:after="164"/>
        <w:ind w:left="1"/>
        <w:jc w:val="center"/>
      </w:pPr>
      <w:r>
        <w:t xml:space="preserve"> </w:t>
      </w:r>
    </w:p>
    <w:p w:rsidR="0040783B" w:rsidRDefault="0040783B" w:rsidP="00E36270">
      <w:pPr>
        <w:spacing w:after="238"/>
        <w:ind w:right="-1"/>
      </w:pPr>
      <w:r>
        <w:rPr>
          <w:noProof/>
        </w:rPr>
        <mc:AlternateContent>
          <mc:Choice Requires="wpg">
            <w:drawing>
              <wp:inline distT="0" distB="0" distL="0" distR="0" wp14:anchorId="4F39A896" wp14:editId="720572A8">
                <wp:extent cx="6692392" cy="9525"/>
                <wp:effectExtent l="0" t="0" r="0" b="0"/>
                <wp:docPr id="27921" name="Group 27921"/>
                <wp:cNvGraphicFramePr/>
                <a:graphic xmlns:a="http://schemas.openxmlformats.org/drawingml/2006/main">
                  <a:graphicData uri="http://schemas.microsoft.com/office/word/2010/wordprocessingGroup">
                    <wpg:wgp>
                      <wpg:cNvGrpSpPr/>
                      <wpg:grpSpPr>
                        <a:xfrm>
                          <a:off x="0" y="0"/>
                          <a:ext cx="6692392" cy="9525"/>
                          <a:chOff x="0" y="0"/>
                          <a:chExt cx="6692392" cy="9525"/>
                        </a:xfrm>
                      </wpg:grpSpPr>
                      <wps:wsp>
                        <wps:cNvPr id="2434" name="Shape 2434"/>
                        <wps:cNvSpPr/>
                        <wps:spPr>
                          <a:xfrm>
                            <a:off x="0" y="0"/>
                            <a:ext cx="6692392" cy="0"/>
                          </a:xfrm>
                          <a:custGeom>
                            <a:avLst/>
                            <a:gdLst/>
                            <a:ahLst/>
                            <a:cxnLst/>
                            <a:rect l="0" t="0" r="0" b="0"/>
                            <a:pathLst>
                              <a:path w="6692392">
                                <a:moveTo>
                                  <a:pt x="0" y="0"/>
                                </a:moveTo>
                                <a:lnTo>
                                  <a:pt x="6692392" y="0"/>
                                </a:lnTo>
                              </a:path>
                            </a:pathLst>
                          </a:custGeom>
                          <a:ln w="9525" cap="sq">
                            <a:miter lim="127000"/>
                          </a:ln>
                        </wps:spPr>
                        <wps:style>
                          <a:lnRef idx="1">
                            <a:srgbClr val="9E9E9E"/>
                          </a:lnRef>
                          <a:fillRef idx="0">
                            <a:srgbClr val="000000">
                              <a:alpha val="0"/>
                            </a:srgbClr>
                          </a:fillRef>
                          <a:effectRef idx="0">
                            <a:scrgbClr r="0" g="0" b="0"/>
                          </a:effectRef>
                          <a:fontRef idx="none"/>
                        </wps:style>
                        <wps:bodyPr/>
                      </wps:wsp>
                    </wpg:wgp>
                  </a:graphicData>
                </a:graphic>
              </wp:inline>
            </w:drawing>
          </mc:Choice>
          <mc:Fallback>
            <w:pict>
              <v:group w14:anchorId="70FB9DF7" id="Group 27921" o:spid="_x0000_s1026" style="width:526.95pt;height:.75pt;mso-position-horizontal-relative:char;mso-position-vertical-relative:line" coordsize="669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">
                <v:shape id="Shape 2434" o:spid="_x0000_s1027" style="position:absolute;width:66923;height:0;visibility:visible;mso-wrap-style:square;v-text-anchor:top" coordsize="6692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" path="m,l6692392,e" filled="f" strokecolor="#9e9e9e">
                  <v:stroke miterlimit="83231f" joinstyle="miter" endcap="square"/>
                  <v:path arrowok="t" textboxrect="0,0,6692392,0"/>
                </v:shape>
                <w10:anchorlock/>
              </v:group>
            </w:pict>
          </mc:Fallback>
        </mc:AlternateContent>
      </w:r>
    </w:p>
    <w:p w:rsidR="0040783B" w:rsidRDefault="0040783B" w:rsidP="00E36270">
      <w:pPr>
        <w:spacing w:after="213" w:line="260" w:lineRule="auto"/>
        <w:ind w:left="-5"/>
      </w:pPr>
      <w:r>
        <w:rPr>
          <w:rFonts w:ascii="Calibri" w:eastAsia="Calibri" w:hAnsi="Calibri" w:cs="Calibri"/>
          <w:b/>
          <w:sz w:val="19"/>
        </w:rPr>
        <w:t>Исходный URL (измененный на 14.01.2016 - 17:57):</w:t>
      </w:r>
      <w:r>
        <w:rPr>
          <w:sz w:val="19"/>
        </w:rPr>
        <w:t xml:space="preserve"> http://www.hcvguidelines.org/full-report/initial-treatment-hcv-infection</w:t>
      </w:r>
    </w:p>
    <w:p w:rsidR="0040783B" w:rsidRDefault="0040783B" w:rsidP="00E36270">
      <w:pPr>
        <w:spacing w:after="2"/>
      </w:pPr>
      <w:r>
        <w:rPr>
          <w:rFonts w:ascii="Calibri" w:eastAsia="Calibri" w:hAnsi="Calibri" w:cs="Calibri"/>
          <w:b/>
          <w:sz w:val="19"/>
        </w:rPr>
        <w:t>Связи</w:t>
      </w:r>
    </w:p>
    <w:p w:rsidR="0040783B" w:rsidRDefault="0040783B" w:rsidP="00E36270">
      <w:pPr>
        <w:numPr>
          <w:ilvl w:val="0"/>
          <w:numId w:val="1"/>
        </w:numPr>
        <w:spacing w:after="3" w:line="260" w:lineRule="auto"/>
        <w:ind w:hanging="295"/>
      </w:pPr>
      <w:r>
        <w:rPr>
          <w:sz w:val="19"/>
        </w:rPr>
        <w:t>http://www.hcvguidelines.org/node/11</w:t>
      </w:r>
    </w:p>
    <w:p w:rsidR="0040783B" w:rsidRDefault="0040783B" w:rsidP="00E36270">
      <w:pPr>
        <w:numPr>
          <w:ilvl w:val="0"/>
          <w:numId w:val="1"/>
        </w:numPr>
        <w:spacing w:after="3" w:line="260" w:lineRule="auto"/>
        <w:ind w:hanging="295"/>
      </w:pPr>
      <w:r>
        <w:rPr>
          <w:sz w:val="19"/>
        </w:rPr>
        <w:t>http://www.hcvguidelines.org/node/72</w:t>
      </w:r>
    </w:p>
    <w:p w:rsidR="0040783B" w:rsidRDefault="0040783B" w:rsidP="00E36270">
      <w:pPr>
        <w:numPr>
          <w:ilvl w:val="0"/>
          <w:numId w:val="1"/>
        </w:numPr>
        <w:spacing w:after="3" w:line="260" w:lineRule="auto"/>
        <w:ind w:hanging="295"/>
      </w:pPr>
      <w:r>
        <w:rPr>
          <w:sz w:val="19"/>
        </w:rPr>
        <w:t>http://www.hcvguidelines.org/node/29</w:t>
      </w:r>
    </w:p>
    <w:p w:rsidR="0040783B" w:rsidRDefault="0040783B" w:rsidP="00E36270">
      <w:pPr>
        <w:numPr>
          <w:ilvl w:val="0"/>
          <w:numId w:val="1"/>
        </w:numPr>
        <w:spacing w:after="3" w:line="260" w:lineRule="auto"/>
        <w:ind w:hanging="295"/>
      </w:pPr>
      <w:r>
        <w:rPr>
          <w:sz w:val="19"/>
        </w:rPr>
        <w:t>http://www.hcvguidelines.org/full-report/unique-patient-populations-patients-hivhcv-coinfection</w:t>
      </w:r>
    </w:p>
    <w:p w:rsidR="0040783B" w:rsidRDefault="0040783B" w:rsidP="00E36270">
      <w:pPr>
        <w:numPr>
          <w:ilvl w:val="0"/>
          <w:numId w:val="1"/>
        </w:numPr>
        <w:spacing w:after="3" w:line="260" w:lineRule="auto"/>
        <w:ind w:hanging="295"/>
      </w:pPr>
      <w:r>
        <w:rPr>
          <w:sz w:val="19"/>
        </w:rPr>
        <w:t>http://www.hcvguidelines.org/full-report/unique-patient-populations-patients-decompensated-cirrhosis</w:t>
      </w:r>
    </w:p>
    <w:p w:rsidR="0040783B" w:rsidRDefault="0040783B" w:rsidP="00E36270">
      <w:pPr>
        <w:numPr>
          <w:ilvl w:val="0"/>
          <w:numId w:val="1"/>
        </w:numPr>
        <w:spacing w:after="3" w:line="260" w:lineRule="auto"/>
        <w:ind w:hanging="295"/>
      </w:pPr>
      <w:r>
        <w:rPr>
          <w:sz w:val="19"/>
        </w:rPr>
        <w:t>http://www.hcvguidelines.org/node/11#ctpclass</w:t>
      </w:r>
    </w:p>
    <w:p w:rsidR="0040783B" w:rsidRDefault="0040783B" w:rsidP="00E36270">
      <w:pPr>
        <w:spacing w:after="3" w:line="260" w:lineRule="auto"/>
        <w:ind w:left="-5"/>
      </w:pPr>
      <w:r>
        <w:rPr>
          <w:sz w:val="19"/>
        </w:rPr>
        <w:t>[7]</w:t>
      </w:r>
    </w:p>
    <w:p w:rsidR="0040783B" w:rsidRDefault="0040783B" w:rsidP="00E36270">
      <w:pPr>
        <w:spacing w:after="3" w:line="260" w:lineRule="auto"/>
        <w:ind w:left="-5"/>
      </w:pPr>
      <w:r>
        <w:rPr>
          <w:sz w:val="19"/>
        </w:rPr>
        <w:t>http://www.hcvguidelines.org/full-report/unique-patient-populations-patients-who-develop-recurrent-hcv-infection-post–live r</w:t>
      </w:r>
    </w:p>
    <w:p w:rsidR="0040783B" w:rsidRDefault="0040783B" w:rsidP="00E36270">
      <w:pPr>
        <w:spacing w:after="3" w:line="260" w:lineRule="auto"/>
        <w:ind w:left="-5" w:right="1929"/>
      </w:pPr>
      <w:r>
        <w:rPr>
          <w:sz w:val="19"/>
        </w:rPr>
        <w:t>[8] http://www.hcvguidelines.org/full-report/unique-patient-populations-patients-renal-impairment [9] http://www.hcvguidelines.org/node/92</w:t>
      </w:r>
    </w:p>
    <w:p w:rsidR="0040783B" w:rsidRDefault="0040783B" w:rsidP="00E36270">
      <w:pPr>
        <w:numPr>
          <w:ilvl w:val="0"/>
          <w:numId w:val="2"/>
        </w:numPr>
        <w:spacing w:after="3" w:line="260" w:lineRule="auto"/>
        <w:ind w:hanging="403"/>
      </w:pPr>
      <w:r>
        <w:rPr>
          <w:sz w:val="19"/>
        </w:rPr>
        <w:t>http://www.hep-druginteractions.org/</w:t>
      </w:r>
    </w:p>
    <w:p w:rsidR="0040783B" w:rsidRDefault="0040783B" w:rsidP="00E36270">
      <w:pPr>
        <w:numPr>
          <w:ilvl w:val="0"/>
          <w:numId w:val="2"/>
        </w:numPr>
        <w:spacing w:after="3" w:line="260" w:lineRule="auto"/>
        <w:ind w:hanging="403"/>
      </w:pPr>
      <w:r>
        <w:rPr>
          <w:sz w:val="19"/>
        </w:rPr>
        <w:t>http://www.hcvguidelines.org/node/71</w:t>
      </w:r>
    </w:p>
    <w:p w:rsidR="0040783B" w:rsidRDefault="0040783B" w:rsidP="00E36270">
      <w:pPr>
        <w:numPr>
          <w:ilvl w:val="0"/>
          <w:numId w:val="2"/>
        </w:numPr>
        <w:spacing w:after="3" w:line="260" w:lineRule="auto"/>
        <w:ind w:hanging="403"/>
      </w:pPr>
      <w:r>
        <w:rPr>
          <w:sz w:val="19"/>
        </w:rPr>
        <w:t>http://www.hcvguidelines.org/full-report/references#wyles2015</w:t>
      </w:r>
    </w:p>
    <w:p w:rsidR="0040783B" w:rsidRDefault="0040783B" w:rsidP="00E36270">
      <w:pPr>
        <w:numPr>
          <w:ilvl w:val="0"/>
          <w:numId w:val="2"/>
        </w:numPr>
        <w:spacing w:after="3" w:line="260" w:lineRule="auto"/>
        <w:ind w:hanging="403"/>
      </w:pPr>
      <w:r>
        <w:rPr>
          <w:sz w:val="19"/>
        </w:rPr>
        <w:t>http://www.hcvguidelines.org/full-report/references#sulkowski2014</w:t>
      </w:r>
    </w:p>
    <w:p w:rsidR="0040783B" w:rsidRDefault="0040783B" w:rsidP="00E36270">
      <w:pPr>
        <w:numPr>
          <w:ilvl w:val="0"/>
          <w:numId w:val="2"/>
        </w:numPr>
        <w:spacing w:after="3" w:line="260" w:lineRule="auto"/>
        <w:ind w:hanging="403"/>
      </w:pPr>
      <w:r>
        <w:rPr>
          <w:sz w:val="19"/>
        </w:rPr>
        <w:t>http://www.hcvguidelines.org/full-report/references#welzel2015</w:t>
      </w:r>
    </w:p>
    <w:p w:rsidR="0040783B" w:rsidRDefault="0040783B" w:rsidP="00E36270">
      <w:pPr>
        <w:numPr>
          <w:ilvl w:val="0"/>
          <w:numId w:val="2"/>
        </w:numPr>
        <w:spacing w:after="3" w:line="260" w:lineRule="auto"/>
        <w:ind w:hanging="403"/>
      </w:pPr>
      <w:r>
        <w:rPr>
          <w:sz w:val="19"/>
        </w:rPr>
        <w:t>http://www.hcvguidelines.org/full-report/references#deledinghen2015</w:t>
      </w:r>
    </w:p>
    <w:p w:rsidR="0040783B" w:rsidRDefault="0040783B" w:rsidP="00E36270">
      <w:pPr>
        <w:numPr>
          <w:ilvl w:val="0"/>
          <w:numId w:val="2"/>
        </w:numPr>
        <w:spacing w:after="3" w:line="260" w:lineRule="auto"/>
        <w:ind w:hanging="403"/>
      </w:pPr>
      <w:r>
        <w:rPr>
          <w:sz w:val="19"/>
        </w:rPr>
        <w:t>http://www.hcvguidelines.org/full-report/references#poordad2015 [17] http://www.hcvguidelines.org/full-report/references#afdhal2014a</w:t>
      </w:r>
    </w:p>
    <w:p w:rsidR="0040783B" w:rsidRDefault="0040783B" w:rsidP="00E36270">
      <w:pPr>
        <w:numPr>
          <w:ilvl w:val="0"/>
          <w:numId w:val="3"/>
        </w:numPr>
        <w:spacing w:after="3" w:line="260" w:lineRule="auto"/>
        <w:ind w:hanging="403"/>
      </w:pPr>
      <w:r>
        <w:rPr>
          <w:sz w:val="19"/>
        </w:rPr>
        <w:t>http://www.hcvguidelines.org/full-report/references#kowdley2014</w:t>
      </w:r>
    </w:p>
    <w:p w:rsidR="0040783B" w:rsidRDefault="0040783B" w:rsidP="00E36270">
      <w:pPr>
        <w:numPr>
          <w:ilvl w:val="0"/>
          <w:numId w:val="3"/>
        </w:numPr>
        <w:spacing w:after="3" w:line="260" w:lineRule="auto"/>
        <w:ind w:hanging="403"/>
      </w:pPr>
      <w:r>
        <w:rPr>
          <w:sz w:val="19"/>
        </w:rPr>
        <w:t>http://www.hcvguidelines.org/full-report/references#feld2014</w:t>
      </w:r>
    </w:p>
    <w:p w:rsidR="0040783B" w:rsidRDefault="0040783B" w:rsidP="00E36270">
      <w:pPr>
        <w:numPr>
          <w:ilvl w:val="0"/>
          <w:numId w:val="3"/>
        </w:numPr>
        <w:spacing w:after="3" w:line="260" w:lineRule="auto"/>
        <w:ind w:hanging="403"/>
      </w:pPr>
      <w:r>
        <w:rPr>
          <w:sz w:val="19"/>
        </w:rPr>
        <w:t>http://www.hcvguidelines.org/full-report/references#ferenci2014</w:t>
      </w:r>
    </w:p>
    <w:p w:rsidR="0040783B" w:rsidRDefault="0040783B" w:rsidP="00E36270">
      <w:pPr>
        <w:numPr>
          <w:ilvl w:val="0"/>
          <w:numId w:val="3"/>
        </w:numPr>
        <w:spacing w:after="3" w:line="260" w:lineRule="auto"/>
        <w:ind w:hanging="403"/>
      </w:pPr>
      <w:r>
        <w:rPr>
          <w:sz w:val="19"/>
        </w:rPr>
        <w:t>http://www.rxabbvie.com/pdf/viekirapak_pi.pdf</w:t>
      </w:r>
    </w:p>
    <w:p w:rsidR="0040783B" w:rsidRDefault="0040783B" w:rsidP="00E36270">
      <w:pPr>
        <w:numPr>
          <w:ilvl w:val="0"/>
          <w:numId w:val="3"/>
        </w:numPr>
        <w:spacing w:after="3" w:line="260" w:lineRule="auto"/>
        <w:ind w:hanging="403"/>
      </w:pPr>
      <w:r>
        <w:rPr>
          <w:sz w:val="19"/>
        </w:rPr>
        <w:t>http://www.hcvguidelines.org/full-report/references#poordad2014</w:t>
      </w:r>
    </w:p>
    <w:p w:rsidR="0040783B" w:rsidRDefault="0040783B" w:rsidP="00E36270">
      <w:pPr>
        <w:numPr>
          <w:ilvl w:val="0"/>
          <w:numId w:val="3"/>
        </w:numPr>
        <w:spacing w:after="3" w:line="260" w:lineRule="auto"/>
        <w:ind w:hanging="403"/>
      </w:pPr>
      <w:r>
        <w:rPr>
          <w:sz w:val="19"/>
        </w:rPr>
        <w:t>http://www.fda.gov/Drugs/DrugSafety/ucm468634.htm</w:t>
      </w:r>
    </w:p>
    <w:p w:rsidR="0040783B" w:rsidRDefault="0040783B" w:rsidP="00E36270">
      <w:pPr>
        <w:numPr>
          <w:ilvl w:val="0"/>
          <w:numId w:val="3"/>
        </w:numPr>
        <w:spacing w:after="3" w:line="260" w:lineRule="auto"/>
        <w:ind w:hanging="403"/>
      </w:pPr>
      <w:r>
        <w:rPr>
          <w:sz w:val="19"/>
        </w:rPr>
        <w:t>http://www.hcvguidelines.org/full-report/references#kwo2015</w:t>
      </w:r>
    </w:p>
    <w:p w:rsidR="0040783B" w:rsidRDefault="0040783B" w:rsidP="00E36270">
      <w:pPr>
        <w:numPr>
          <w:ilvl w:val="0"/>
          <w:numId w:val="3"/>
        </w:numPr>
        <w:spacing w:after="3" w:line="260" w:lineRule="auto"/>
        <w:ind w:hanging="403"/>
      </w:pPr>
      <w:r>
        <w:rPr>
          <w:sz w:val="19"/>
        </w:rPr>
        <w:t>http://www.hcvguidelines.org/full-report/references#lawitz2015</w:t>
      </w:r>
    </w:p>
    <w:p w:rsidR="0040783B" w:rsidRDefault="0040783B" w:rsidP="00E36270">
      <w:pPr>
        <w:numPr>
          <w:ilvl w:val="0"/>
          <w:numId w:val="3"/>
        </w:numPr>
        <w:spacing w:after="3" w:line="260" w:lineRule="auto"/>
        <w:ind w:hanging="403"/>
      </w:pPr>
      <w:r>
        <w:rPr>
          <w:sz w:val="19"/>
        </w:rPr>
        <w:t>http://www.hcvguidelines.org/full-report/references#feld2015</w:t>
      </w:r>
    </w:p>
    <w:p w:rsidR="0040783B" w:rsidRDefault="0040783B" w:rsidP="00E36270">
      <w:pPr>
        <w:numPr>
          <w:ilvl w:val="0"/>
          <w:numId w:val="3"/>
        </w:numPr>
        <w:spacing w:after="3" w:line="260" w:lineRule="auto"/>
        <w:ind w:hanging="403"/>
      </w:pPr>
      <w:r>
        <w:rPr>
          <w:sz w:val="19"/>
        </w:rPr>
        <w:t>http://hcvguidelines.org/full-report/initial-treatment-hcv-infection#genotype1</w:t>
      </w:r>
    </w:p>
    <w:p w:rsidR="0040783B" w:rsidRDefault="0040783B" w:rsidP="00E36270">
      <w:pPr>
        <w:numPr>
          <w:ilvl w:val="0"/>
          <w:numId w:val="3"/>
        </w:numPr>
        <w:spacing w:after="3" w:line="260" w:lineRule="auto"/>
        <w:ind w:hanging="403"/>
      </w:pPr>
      <w:r>
        <w:rPr>
          <w:sz w:val="19"/>
        </w:rPr>
        <w:t>http://www.hcvguidelines.org/full-report/references#lawitz2013a</w:t>
      </w:r>
    </w:p>
    <w:p w:rsidR="0040783B" w:rsidRDefault="0040783B" w:rsidP="00E36270">
      <w:pPr>
        <w:numPr>
          <w:ilvl w:val="0"/>
          <w:numId w:val="3"/>
        </w:numPr>
        <w:spacing w:after="3" w:line="260" w:lineRule="auto"/>
        <w:ind w:hanging="403"/>
      </w:pPr>
      <w:r>
        <w:rPr>
          <w:sz w:val="19"/>
        </w:rPr>
        <w:t>http://www.hcvguidelines.org/full-report/references#wang2014</w:t>
      </w:r>
    </w:p>
    <w:p w:rsidR="0040783B" w:rsidRDefault="0040783B" w:rsidP="00E36270">
      <w:pPr>
        <w:numPr>
          <w:ilvl w:val="0"/>
          <w:numId w:val="3"/>
        </w:numPr>
        <w:spacing w:after="3" w:line="260" w:lineRule="auto"/>
        <w:ind w:hanging="403"/>
      </w:pPr>
      <w:r>
        <w:rPr>
          <w:sz w:val="19"/>
        </w:rPr>
        <w:t>http://www.hcvguidelines.org/full-report/references#jacobson2013c</w:t>
      </w:r>
    </w:p>
    <w:p w:rsidR="0040783B" w:rsidRDefault="0040783B" w:rsidP="00E36270">
      <w:pPr>
        <w:numPr>
          <w:ilvl w:val="0"/>
          <w:numId w:val="3"/>
        </w:numPr>
        <w:spacing w:after="3" w:line="260" w:lineRule="auto"/>
        <w:ind w:hanging="403"/>
      </w:pPr>
      <w:r>
        <w:rPr>
          <w:sz w:val="19"/>
        </w:rPr>
        <w:t>http://www.hcvguidelines.org/full-report/references#zeuzem2013c</w:t>
      </w:r>
    </w:p>
    <w:p w:rsidR="0040783B" w:rsidRDefault="0040783B" w:rsidP="00E36270">
      <w:pPr>
        <w:numPr>
          <w:ilvl w:val="0"/>
          <w:numId w:val="3"/>
        </w:numPr>
        <w:spacing w:after="3" w:line="260" w:lineRule="auto"/>
        <w:ind w:hanging="403"/>
      </w:pPr>
      <w:r>
        <w:rPr>
          <w:sz w:val="19"/>
        </w:rPr>
        <w:t>http://www.hcvguidelines.org/full-report/references#usfda2013a</w:t>
      </w:r>
    </w:p>
    <w:p w:rsidR="0040783B" w:rsidRDefault="0040783B" w:rsidP="00E36270">
      <w:pPr>
        <w:numPr>
          <w:ilvl w:val="0"/>
          <w:numId w:val="3"/>
        </w:numPr>
        <w:spacing w:after="3" w:line="260" w:lineRule="auto"/>
        <w:ind w:hanging="403"/>
      </w:pPr>
      <w:r>
        <w:rPr>
          <w:sz w:val="19"/>
        </w:rPr>
        <w:t>http://www.hcvguidelines.org/full-report/references#dieterich2014a</w:t>
      </w:r>
    </w:p>
    <w:p w:rsidR="0040783B" w:rsidRDefault="0040783B" w:rsidP="00E36270">
      <w:pPr>
        <w:numPr>
          <w:ilvl w:val="0"/>
          <w:numId w:val="3"/>
        </w:numPr>
        <w:spacing w:after="3" w:line="260" w:lineRule="auto"/>
        <w:ind w:hanging="403"/>
      </w:pPr>
      <w:r>
        <w:rPr>
          <w:sz w:val="19"/>
        </w:rPr>
        <w:t>http://www.hcvguidelines.org/full-report/references#foster2015</w:t>
      </w:r>
    </w:p>
    <w:p w:rsidR="0040783B" w:rsidRDefault="0040783B" w:rsidP="00E36270">
      <w:pPr>
        <w:numPr>
          <w:ilvl w:val="0"/>
          <w:numId w:val="3"/>
        </w:numPr>
        <w:spacing w:after="3" w:line="260" w:lineRule="auto"/>
        <w:ind w:hanging="403"/>
      </w:pPr>
      <w:r>
        <w:rPr>
          <w:sz w:val="19"/>
        </w:rPr>
        <w:t>http://www.hcvguidelines.org/full-report/references#moreno2012</w:t>
      </w:r>
    </w:p>
    <w:p w:rsidR="0040783B" w:rsidRDefault="0040783B" w:rsidP="00E36270">
      <w:pPr>
        <w:numPr>
          <w:ilvl w:val="0"/>
          <w:numId w:val="3"/>
        </w:numPr>
        <w:spacing w:after="3" w:line="260" w:lineRule="auto"/>
        <w:ind w:hanging="403"/>
      </w:pPr>
      <w:r>
        <w:rPr>
          <w:sz w:val="19"/>
        </w:rPr>
        <w:t>http://www.hcvguidelines.org/full-report/references#foster2011</w:t>
      </w:r>
    </w:p>
    <w:p w:rsidR="0040783B" w:rsidRDefault="0040783B" w:rsidP="00E36270">
      <w:pPr>
        <w:numPr>
          <w:ilvl w:val="0"/>
          <w:numId w:val="3"/>
        </w:numPr>
        <w:spacing w:after="3" w:line="260" w:lineRule="auto"/>
        <w:ind w:hanging="403"/>
      </w:pPr>
      <w:r>
        <w:rPr>
          <w:sz w:val="19"/>
        </w:rPr>
        <w:t>http://www.hcvguidelines.org/full-report/references#nakamoto2014</w:t>
      </w:r>
    </w:p>
    <w:p w:rsidR="0040783B" w:rsidRDefault="0040783B" w:rsidP="00E36270">
      <w:pPr>
        <w:numPr>
          <w:ilvl w:val="0"/>
          <w:numId w:val="3"/>
        </w:numPr>
        <w:spacing w:after="3" w:line="260" w:lineRule="auto"/>
        <w:ind w:hanging="403"/>
      </w:pPr>
      <w:r>
        <w:rPr>
          <w:sz w:val="19"/>
        </w:rPr>
        <w:t>http://www.hcvguidelines.org/full-report/references#nelson2014</w:t>
      </w:r>
    </w:p>
    <w:p w:rsidR="0040783B" w:rsidRDefault="0040783B" w:rsidP="00E36270">
      <w:pPr>
        <w:numPr>
          <w:ilvl w:val="0"/>
          <w:numId w:val="3"/>
        </w:numPr>
        <w:spacing w:after="3" w:line="260" w:lineRule="auto"/>
        <w:ind w:hanging="403"/>
      </w:pPr>
      <w:r>
        <w:rPr>
          <w:sz w:val="19"/>
        </w:rPr>
        <w:t>http://www.hcvguidelines.org/full-report/references#hezode2015</w:t>
      </w:r>
    </w:p>
    <w:p w:rsidR="0040783B" w:rsidRDefault="0040783B" w:rsidP="00E36270">
      <w:pPr>
        <w:numPr>
          <w:ilvl w:val="0"/>
          <w:numId w:val="3"/>
        </w:numPr>
        <w:spacing w:after="3" w:line="260" w:lineRule="auto"/>
        <w:ind w:hanging="403"/>
      </w:pPr>
      <w:r>
        <w:rPr>
          <w:sz w:val="19"/>
        </w:rPr>
        <w:t>http://www.hcvguidelines.org/full-report/references#zeuzem2014</w:t>
      </w:r>
    </w:p>
    <w:p w:rsidR="0040783B" w:rsidRDefault="0040783B" w:rsidP="00E36270">
      <w:pPr>
        <w:numPr>
          <w:ilvl w:val="0"/>
          <w:numId w:val="3"/>
        </w:numPr>
        <w:spacing w:after="3" w:line="260" w:lineRule="auto"/>
        <w:ind w:hanging="403"/>
      </w:pPr>
      <w:r>
        <w:rPr>
          <w:sz w:val="19"/>
        </w:rPr>
        <w:t>http://www.hcvguidelines.org/full-report/references#wong2013</w:t>
      </w:r>
    </w:p>
    <w:p w:rsidR="0040783B" w:rsidRDefault="0040783B" w:rsidP="00E36270">
      <w:pPr>
        <w:numPr>
          <w:ilvl w:val="0"/>
          <w:numId w:val="3"/>
        </w:numPr>
        <w:spacing w:after="3" w:line="260" w:lineRule="auto"/>
        <w:ind w:hanging="403"/>
      </w:pPr>
      <w:r>
        <w:rPr>
          <w:sz w:val="19"/>
        </w:rPr>
        <w:t>http://www.hcvguidelines.org/full-report/references#kohler2014 [43] http://www.hcvguidelines.org/full-report/references#gane2013b</w:t>
      </w:r>
    </w:p>
    <w:p w:rsidR="0040783B" w:rsidRDefault="0040783B" w:rsidP="00E36270">
      <w:pPr>
        <w:numPr>
          <w:ilvl w:val="0"/>
          <w:numId w:val="4"/>
        </w:numPr>
        <w:spacing w:after="3" w:line="260" w:lineRule="auto"/>
        <w:ind w:hanging="403"/>
      </w:pPr>
      <w:r>
        <w:rPr>
          <w:sz w:val="19"/>
        </w:rPr>
        <w:t>http://www.hcvguidelines.org/full-report/references#kohli2015</w:t>
      </w:r>
    </w:p>
    <w:p w:rsidR="0040783B" w:rsidRDefault="0040783B" w:rsidP="00E36270">
      <w:pPr>
        <w:numPr>
          <w:ilvl w:val="0"/>
          <w:numId w:val="4"/>
        </w:numPr>
        <w:spacing w:after="3" w:line="260" w:lineRule="auto"/>
        <w:ind w:hanging="403"/>
      </w:pPr>
      <w:r>
        <w:rPr>
          <w:sz w:val="19"/>
        </w:rPr>
        <w:t>http://www.hcvguidelines.org/full-report/references#abergel2015</w:t>
      </w:r>
    </w:p>
    <w:p w:rsidR="0040783B" w:rsidRDefault="0040783B" w:rsidP="00E36270">
      <w:pPr>
        <w:numPr>
          <w:ilvl w:val="0"/>
          <w:numId w:val="4"/>
        </w:numPr>
        <w:spacing w:after="3" w:line="260" w:lineRule="auto"/>
        <w:ind w:hanging="403"/>
      </w:pPr>
      <w:r>
        <w:rPr>
          <w:sz w:val="19"/>
        </w:rPr>
        <w:t>http://www.hcvguidelines.org/full-report/references#ruane2014</w:t>
      </w:r>
    </w:p>
    <w:p w:rsidR="0040783B" w:rsidRDefault="0040783B" w:rsidP="00E36270">
      <w:pPr>
        <w:numPr>
          <w:ilvl w:val="0"/>
          <w:numId w:val="4"/>
        </w:numPr>
        <w:spacing w:after="3" w:line="260" w:lineRule="auto"/>
        <w:ind w:hanging="403"/>
      </w:pPr>
      <w:r>
        <w:rPr>
          <w:sz w:val="19"/>
        </w:rPr>
        <w:t>http://www.hcvguidelines.org/full-report/references#doss2015</w:t>
      </w:r>
    </w:p>
    <w:p w:rsidR="0040783B" w:rsidRDefault="0040783B" w:rsidP="00E36270">
      <w:pPr>
        <w:numPr>
          <w:ilvl w:val="0"/>
          <w:numId w:val="4"/>
        </w:numPr>
        <w:spacing w:after="3" w:line="260" w:lineRule="auto"/>
        <w:ind w:hanging="403"/>
      </w:pPr>
      <w:r>
        <w:rPr>
          <w:sz w:val="19"/>
        </w:rPr>
        <w:t>http://www.hcvguidelines.org/full-report/references#molina2015</w:t>
      </w:r>
    </w:p>
    <w:p w:rsidR="0040783B" w:rsidRDefault="0040783B" w:rsidP="00E36270">
      <w:pPr>
        <w:numPr>
          <w:ilvl w:val="0"/>
          <w:numId w:val="4"/>
        </w:numPr>
        <w:spacing w:after="3" w:line="260" w:lineRule="auto"/>
        <w:ind w:hanging="403"/>
      </w:pPr>
      <w:r>
        <w:rPr>
          <w:sz w:val="19"/>
        </w:rPr>
        <w:t>http://www.hcvguidelines.org/full-report/references#ghany2009</w:t>
      </w:r>
    </w:p>
    <w:p w:rsidR="0040783B" w:rsidRDefault="0040783B" w:rsidP="00E36270">
      <w:pPr>
        <w:numPr>
          <w:ilvl w:val="0"/>
          <w:numId w:val="4"/>
        </w:numPr>
        <w:spacing w:after="3" w:line="260" w:lineRule="auto"/>
        <w:ind w:hanging="403"/>
      </w:pPr>
      <w:r>
        <w:rPr>
          <w:sz w:val="19"/>
        </w:rPr>
        <w:t>http://www.hcvguidelines.org/full-report/references#aasld-idsa-iasusa</w:t>
      </w:r>
    </w:p>
    <w:p w:rsidR="0040783B" w:rsidRDefault="0040783B" w:rsidP="00E36270">
      <w:pPr>
        <w:numPr>
          <w:ilvl w:val="0"/>
          <w:numId w:val="4"/>
        </w:numPr>
        <w:spacing w:after="3" w:line="260" w:lineRule="auto"/>
        <w:ind w:hanging="403"/>
      </w:pPr>
      <w:r>
        <w:rPr>
          <w:sz w:val="19"/>
        </w:rPr>
        <w:t>http://www.hcvguidelines.org/full-report/references#moreno2013b</w:t>
      </w:r>
    </w:p>
    <w:p w:rsidR="0040783B" w:rsidRDefault="0040783B" w:rsidP="00E36270">
      <w:pPr>
        <w:numPr>
          <w:ilvl w:val="0"/>
          <w:numId w:val="4"/>
        </w:numPr>
        <w:spacing w:after="3" w:line="260" w:lineRule="auto"/>
        <w:ind w:hanging="403"/>
      </w:pPr>
      <w:r>
        <w:rPr>
          <w:sz w:val="19"/>
        </w:rPr>
        <w:t>http://www.hcvguidelines.org/full-report/references#kapoor2014</w:t>
      </w:r>
    </w:p>
    <w:p w:rsidR="0040783B" w:rsidRDefault="0040783B" w:rsidP="00E36270">
      <w:pPr>
        <w:numPr>
          <w:ilvl w:val="0"/>
          <w:numId w:val="4"/>
        </w:numPr>
        <w:spacing w:after="3" w:line="260" w:lineRule="auto"/>
        <w:ind w:hanging="403"/>
      </w:pPr>
      <w:r>
        <w:rPr>
          <w:sz w:val="19"/>
        </w:rPr>
        <w:t>http://www.hcvguidelines.org/full-report/references#gane2014</w:t>
      </w:r>
    </w:p>
    <w:sectPr w:rsidR="0040783B" w:rsidSect="006533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3BCA"/>
    <w:multiLevelType w:val="hybridMultilevel"/>
    <w:tmpl w:val="E5465636"/>
    <w:lvl w:ilvl="0" w:tplc="BC7C8512">
      <w:start w:val="44"/>
      <w:numFmt w:val="decimal"/>
      <w:lvlText w:val="[%1]"/>
      <w:lvlJc w:val="left"/>
      <w:pPr>
        <w:ind w:left="40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AAF869E0">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0FF2FB0A">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6D2EDAB0">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399C5F5C">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BC50B820">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3B1612EA">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EDC06BE8">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154667B6">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CF26359"/>
    <w:multiLevelType w:val="hybridMultilevel"/>
    <w:tmpl w:val="33941518"/>
    <w:lvl w:ilvl="0" w:tplc="8E70EE7E">
      <w:start w:val="10"/>
      <w:numFmt w:val="decimal"/>
      <w:lvlText w:val="[%1]"/>
      <w:lvlJc w:val="left"/>
      <w:pPr>
        <w:ind w:left="40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F12834CC">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E1DAEBBC">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1C761A82">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58CE5750">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249AA662">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7C741636">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81DAFD9C">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FDBCB024">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12434B6F"/>
    <w:multiLevelType w:val="hybridMultilevel"/>
    <w:tmpl w:val="2B1C4562"/>
    <w:lvl w:ilvl="0" w:tplc="0FA0C118">
      <w:start w:val="1"/>
      <w:numFmt w:val="decimal"/>
      <w:lvlText w:val="[%1]"/>
      <w:lvlJc w:val="left"/>
      <w:pPr>
        <w:ind w:left="29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69B25866">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BF1071CC">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29085E96">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1C7E6892">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26A86AFA">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75EA27BC">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B13E10AA">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888CCAF2">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62580F97"/>
    <w:multiLevelType w:val="hybridMultilevel"/>
    <w:tmpl w:val="8F5E9D4E"/>
    <w:lvl w:ilvl="0" w:tplc="500070E8">
      <w:start w:val="18"/>
      <w:numFmt w:val="decimal"/>
      <w:lvlText w:val="[%1]"/>
      <w:lvlJc w:val="left"/>
      <w:pPr>
        <w:ind w:left="40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EB6AEE40">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90C087D4">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45A8D186">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8D78D51C">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32F07A16">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3D1231B8">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E7CE6652">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B0DA16F4">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72"/>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83B"/>
    <w:rsid w:val="0040783B"/>
    <w:rsid w:val="00461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D0A71-314B-458A-9CC3-6DAB5AF4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40783B"/>
    <w:pPr>
      <w:keepNext/>
      <w:keepLines/>
      <w:spacing w:after="633"/>
      <w:outlineLvl w:val="0"/>
    </w:pPr>
    <w:rPr>
      <w:rFonts w:ascii="Calibri" w:eastAsia="Calibri" w:hAnsi="Calibri" w:cs="Calibri"/>
      <w:b/>
      <w:color w:val="000000"/>
      <w:sz w:val="33"/>
      <w:lang w:eastAsia="ru-RU"/>
    </w:rPr>
  </w:style>
  <w:style w:type="paragraph" w:styleId="2">
    <w:name w:val="heading 2"/>
    <w:next w:val="a"/>
    <w:link w:val="20"/>
    <w:uiPriority w:val="9"/>
    <w:unhideWhenUsed/>
    <w:qFormat/>
    <w:rsid w:val="0040783B"/>
    <w:pPr>
      <w:keepNext/>
      <w:keepLines/>
      <w:spacing w:after="657" w:line="265" w:lineRule="auto"/>
      <w:ind w:left="10" w:hanging="10"/>
      <w:outlineLvl w:val="1"/>
    </w:pPr>
    <w:rPr>
      <w:rFonts w:ascii="Calibri" w:eastAsia="Calibri" w:hAnsi="Calibri" w:cs="Calibri"/>
      <w:b/>
      <w:color w:val="638B7D"/>
      <w:sz w:val="29"/>
      <w:lang w:eastAsia="ru-RU"/>
    </w:rPr>
  </w:style>
  <w:style w:type="paragraph" w:styleId="3">
    <w:name w:val="heading 3"/>
    <w:next w:val="a"/>
    <w:link w:val="30"/>
    <w:uiPriority w:val="9"/>
    <w:unhideWhenUsed/>
    <w:qFormat/>
    <w:rsid w:val="0040783B"/>
    <w:pPr>
      <w:keepNext/>
      <w:keepLines/>
      <w:spacing w:after="249"/>
      <w:outlineLvl w:val="2"/>
    </w:pPr>
    <w:rPr>
      <w:rFonts w:ascii="Calibri" w:eastAsia="Calibri" w:hAnsi="Calibri" w:cs="Calibri"/>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783B"/>
    <w:rPr>
      <w:rFonts w:ascii="Calibri" w:eastAsia="Calibri" w:hAnsi="Calibri" w:cs="Calibri"/>
      <w:b/>
      <w:color w:val="000000"/>
      <w:sz w:val="33"/>
      <w:lang w:eastAsia="ru-RU"/>
    </w:rPr>
  </w:style>
  <w:style w:type="character" w:customStyle="1" w:styleId="20">
    <w:name w:val="Заголовок 2 Знак"/>
    <w:basedOn w:val="a0"/>
    <w:link w:val="2"/>
    <w:uiPriority w:val="9"/>
    <w:rsid w:val="0040783B"/>
    <w:rPr>
      <w:rFonts w:ascii="Calibri" w:eastAsia="Calibri" w:hAnsi="Calibri" w:cs="Calibri"/>
      <w:b/>
      <w:color w:val="638B7D"/>
      <w:sz w:val="29"/>
      <w:lang w:eastAsia="ru-RU"/>
    </w:rPr>
  </w:style>
  <w:style w:type="character" w:customStyle="1" w:styleId="30">
    <w:name w:val="Заголовок 3 Знак"/>
    <w:basedOn w:val="a0"/>
    <w:link w:val="3"/>
    <w:uiPriority w:val="9"/>
    <w:rsid w:val="0040783B"/>
    <w:rPr>
      <w:rFonts w:ascii="Calibri" w:eastAsia="Calibri" w:hAnsi="Calibri" w:cs="Calibri"/>
      <w:b/>
      <w:color w:val="000000"/>
      <w:lang w:eastAsia="ru-RU"/>
    </w:rPr>
  </w:style>
  <w:style w:type="table" w:customStyle="1" w:styleId="TableGrid">
    <w:name w:val="TableGrid"/>
    <w:rsid w:val="0040783B"/>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cvguidelines.org/full-report/references" TargetMode="External"/><Relationship Id="rId21" Type="http://schemas.openxmlformats.org/officeDocument/2006/relationships/hyperlink" Target="http://www.hcvguidelines.org/full-report/references" TargetMode="External"/><Relationship Id="rId42" Type="http://schemas.openxmlformats.org/officeDocument/2006/relationships/hyperlink" Target="http://www.hcvguidelines.org/full-report/references" TargetMode="External"/><Relationship Id="rId47" Type="http://schemas.openxmlformats.org/officeDocument/2006/relationships/hyperlink" Target="http://www.hcvguidelines.org/full-report/references" TargetMode="External"/><Relationship Id="rId63" Type="http://schemas.openxmlformats.org/officeDocument/2006/relationships/hyperlink" Target="http://www.hcvguidelines.org/full-report/references" TargetMode="External"/><Relationship Id="rId68" Type="http://schemas.openxmlformats.org/officeDocument/2006/relationships/hyperlink" Target="http://www.hcvguidelines.org/full-report/references" TargetMode="External"/><Relationship Id="rId84" Type="http://schemas.openxmlformats.org/officeDocument/2006/relationships/hyperlink" Target="http://www.hcvguidelines.org/full-report/references" TargetMode="External"/><Relationship Id="rId89" Type="http://schemas.openxmlformats.org/officeDocument/2006/relationships/hyperlink" Target="http://www.hcvguidelines.org/full-report/references" TargetMode="External"/><Relationship Id="rId7" Type="http://schemas.openxmlformats.org/officeDocument/2006/relationships/hyperlink" Target="http://www.hcvguidelines.org/" TargetMode="External"/><Relationship Id="rId71" Type="http://schemas.openxmlformats.org/officeDocument/2006/relationships/hyperlink" Target="http://www.hcvguidelines.org/full-report/references" TargetMode="External"/><Relationship Id="rId92" Type="http://schemas.openxmlformats.org/officeDocument/2006/relationships/hyperlink" Target="http://www.hcvguidelines.org/full-report/references" TargetMode="External"/><Relationship Id="rId2" Type="http://schemas.openxmlformats.org/officeDocument/2006/relationships/styles" Target="styles.xml"/><Relationship Id="rId16" Type="http://schemas.openxmlformats.org/officeDocument/2006/relationships/hyperlink" Target="http://www.hcvguidelines.org/node/92" TargetMode="External"/><Relationship Id="rId29" Type="http://schemas.openxmlformats.org/officeDocument/2006/relationships/hyperlink" Target="http://www.hcvguidelines.org/full-report/references" TargetMode="External"/><Relationship Id="rId11" Type="http://schemas.openxmlformats.org/officeDocument/2006/relationships/hyperlink" Target="http://www.hcvguidelines.org/full-report/unique-patient-populations-patients-hivhcv-coinfection" TargetMode="External"/><Relationship Id="rId24" Type="http://schemas.openxmlformats.org/officeDocument/2006/relationships/hyperlink" Target="http://www.hcvguidelines.org/full-report/references" TargetMode="External"/><Relationship Id="rId32" Type="http://schemas.openxmlformats.org/officeDocument/2006/relationships/hyperlink" Target="http://www.rxabbvie.com/pdf/viekirapak_pi.pdf" TargetMode="External"/><Relationship Id="rId37" Type="http://schemas.openxmlformats.org/officeDocument/2006/relationships/hyperlink" Target="http://www.rxabbvie.com/pdf/viekirapak_pi.pdf" TargetMode="External"/><Relationship Id="rId40" Type="http://schemas.openxmlformats.org/officeDocument/2006/relationships/hyperlink" Target="http://www.fda.gov/Drugs/DrugSafety/ucm468634.htm" TargetMode="External"/><Relationship Id="rId45" Type="http://schemas.openxmlformats.org/officeDocument/2006/relationships/hyperlink" Target="http://www.hcvguidelines.org/full-report/references" TargetMode="External"/><Relationship Id="rId53" Type="http://schemas.openxmlformats.org/officeDocument/2006/relationships/hyperlink" Target="http://www.hcvguidelines.org/full-report/unique-patient-populations-patients-who-develop-recurrent-hcv-infection-post&#8211;liver" TargetMode="External"/><Relationship Id="rId58" Type="http://schemas.openxmlformats.org/officeDocument/2006/relationships/hyperlink" Target="http://www.hcvguidelines.org/full-report/references" TargetMode="External"/><Relationship Id="rId66" Type="http://schemas.openxmlformats.org/officeDocument/2006/relationships/hyperlink" Target="http://www.hcvguidelines.org/full-report/references" TargetMode="External"/><Relationship Id="rId74" Type="http://schemas.openxmlformats.org/officeDocument/2006/relationships/hyperlink" Target="http://www.hcvguidelines.org/full-report/references" TargetMode="External"/><Relationship Id="rId79" Type="http://schemas.openxmlformats.org/officeDocument/2006/relationships/hyperlink" Target="http://www.hcvguidelines.org/full-report/references" TargetMode="External"/><Relationship Id="rId87" Type="http://schemas.openxmlformats.org/officeDocument/2006/relationships/hyperlink" Target="http://www.hcvguidelines.org/full-report/references" TargetMode="External"/><Relationship Id="rId102" Type="http://schemas.openxmlformats.org/officeDocument/2006/relationships/hyperlink" Target="http://www.hcvguidelines.org/full-report/references" TargetMode="External"/><Relationship Id="rId5" Type="http://schemas.openxmlformats.org/officeDocument/2006/relationships/image" Target="media/image1.jpg"/><Relationship Id="rId61" Type="http://schemas.openxmlformats.org/officeDocument/2006/relationships/hyperlink" Target="http://www.hcvguidelines.org/full-report/references" TargetMode="External"/><Relationship Id="rId82" Type="http://schemas.openxmlformats.org/officeDocument/2006/relationships/hyperlink" Target="http://www.hcvguidelines.org/full-report/references" TargetMode="External"/><Relationship Id="rId90" Type="http://schemas.openxmlformats.org/officeDocument/2006/relationships/hyperlink" Target="http://www.hcvguidelines.org/full-report/references" TargetMode="External"/><Relationship Id="rId95" Type="http://schemas.openxmlformats.org/officeDocument/2006/relationships/hyperlink" Target="http://www.hcvguidelines.org/full-report/references" TargetMode="External"/><Relationship Id="rId19" Type="http://schemas.openxmlformats.org/officeDocument/2006/relationships/hyperlink" Target="http://www.hcvguidelines.org/node/71" TargetMode="External"/><Relationship Id="rId14" Type="http://schemas.openxmlformats.org/officeDocument/2006/relationships/hyperlink" Target="http://www.hcvguidelines.org/full-report/unique-patient-populations-patients-who-develop-recurrent-hcv-infection-post&#8211;liver" TargetMode="External"/><Relationship Id="rId22" Type="http://schemas.openxmlformats.org/officeDocument/2006/relationships/hyperlink" Target="http://www.hcvguidelines.org/full-report/references" TargetMode="External"/><Relationship Id="rId27" Type="http://schemas.openxmlformats.org/officeDocument/2006/relationships/hyperlink" Target="http://www.hcvguidelines.org/full-report/references" TargetMode="External"/><Relationship Id="rId30" Type="http://schemas.openxmlformats.org/officeDocument/2006/relationships/hyperlink" Target="http://www.rxabbvie.com/pdf/viekirapak_pi.pdf" TargetMode="External"/><Relationship Id="rId35" Type="http://schemas.openxmlformats.org/officeDocument/2006/relationships/hyperlink" Target="http://www.hcvguidelines.org/full-report/references" TargetMode="External"/><Relationship Id="rId43" Type="http://schemas.openxmlformats.org/officeDocument/2006/relationships/hyperlink" Target="http://www.hcvguidelines.org/node/71" TargetMode="External"/><Relationship Id="rId48" Type="http://schemas.openxmlformats.org/officeDocument/2006/relationships/hyperlink" Target="http://www.hcvguidelines.org/full-report/references" TargetMode="External"/><Relationship Id="rId56" Type="http://schemas.openxmlformats.org/officeDocument/2006/relationships/hyperlink" Target="http://www.hcvguidelines.org/node/71" TargetMode="External"/><Relationship Id="rId64" Type="http://schemas.openxmlformats.org/officeDocument/2006/relationships/hyperlink" Target="http://www.hcvguidelines.org/full-report/references" TargetMode="External"/><Relationship Id="rId69" Type="http://schemas.openxmlformats.org/officeDocument/2006/relationships/hyperlink" Target="http://www.hcvguidelines.org/full-report/references" TargetMode="External"/><Relationship Id="rId77" Type="http://schemas.openxmlformats.org/officeDocument/2006/relationships/hyperlink" Target="http://www.hcvguidelines.org/full-report/references" TargetMode="External"/><Relationship Id="rId100" Type="http://schemas.openxmlformats.org/officeDocument/2006/relationships/hyperlink" Target="http://www.hcvguidelines.org/full-report/references" TargetMode="External"/><Relationship Id="rId105" Type="http://schemas.openxmlformats.org/officeDocument/2006/relationships/theme" Target="theme/theme1.xml"/><Relationship Id="rId8" Type="http://schemas.openxmlformats.org/officeDocument/2006/relationships/hyperlink" Target="http://www.hcvguidelines.org/node/11" TargetMode="External"/><Relationship Id="rId51" Type="http://schemas.openxmlformats.org/officeDocument/2006/relationships/hyperlink" Target="http://www.hcvguidelines.org/full-report/unique-patient-populations-patients-hivhcv-coinfection" TargetMode="External"/><Relationship Id="rId72" Type="http://schemas.openxmlformats.org/officeDocument/2006/relationships/hyperlink" Target="http://www.hcvguidelines.org/node/71" TargetMode="External"/><Relationship Id="rId80" Type="http://schemas.openxmlformats.org/officeDocument/2006/relationships/hyperlink" Target="http://www.hcvguidelines.org/full-report/references" TargetMode="External"/><Relationship Id="rId85" Type="http://schemas.openxmlformats.org/officeDocument/2006/relationships/hyperlink" Target="http://www.hcvguidelines.org/full-report/references" TargetMode="External"/><Relationship Id="rId93" Type="http://schemas.openxmlformats.org/officeDocument/2006/relationships/hyperlink" Target="http://www.hcvguidelines.org/full-report/references" TargetMode="External"/><Relationship Id="rId98" Type="http://schemas.openxmlformats.org/officeDocument/2006/relationships/hyperlink" Target="http://www.hcvguidelines.org/full-report/references" TargetMode="External"/><Relationship Id="rId3" Type="http://schemas.openxmlformats.org/officeDocument/2006/relationships/settings" Target="settings.xml"/><Relationship Id="rId12" Type="http://schemas.openxmlformats.org/officeDocument/2006/relationships/hyperlink" Target="http://www.hcvguidelines.org/full-report/unique-patient-populations-patients-decompensated-cirrhosis" TargetMode="External"/><Relationship Id="rId17" Type="http://schemas.openxmlformats.org/officeDocument/2006/relationships/hyperlink" Target="http://www.hcvguidelines.org/node/92" TargetMode="External"/><Relationship Id="rId25" Type="http://schemas.openxmlformats.org/officeDocument/2006/relationships/hyperlink" Target="http://www.hcvguidelines.org/full-report/references" TargetMode="External"/><Relationship Id="rId33" Type="http://schemas.openxmlformats.org/officeDocument/2006/relationships/hyperlink" Target="http://www.rxabbvie.com/pdf/viekirapak_pi.pdf" TargetMode="External"/><Relationship Id="rId38" Type="http://schemas.openxmlformats.org/officeDocument/2006/relationships/hyperlink" Target="http://www.rxabbvie.com/pdf/viekirapak_pi.pdf" TargetMode="External"/><Relationship Id="rId46" Type="http://schemas.openxmlformats.org/officeDocument/2006/relationships/hyperlink" Target="http://www.hcvguidelines.org/full-report/references" TargetMode="External"/><Relationship Id="rId59" Type="http://schemas.openxmlformats.org/officeDocument/2006/relationships/hyperlink" Target="http://www.hcvguidelines.org/full-report/references" TargetMode="External"/><Relationship Id="rId67" Type="http://schemas.openxmlformats.org/officeDocument/2006/relationships/hyperlink" Target="http://www.hcvguidelines.org/full-report/references" TargetMode="External"/><Relationship Id="rId103" Type="http://schemas.openxmlformats.org/officeDocument/2006/relationships/hyperlink" Target="http://www.hcvguidelines.org/full-report/references" TargetMode="External"/><Relationship Id="rId20" Type="http://schemas.openxmlformats.org/officeDocument/2006/relationships/hyperlink" Target="http://www.hcvguidelines.org/full-report/references" TargetMode="External"/><Relationship Id="rId41" Type="http://schemas.openxmlformats.org/officeDocument/2006/relationships/hyperlink" Target="http://www.hcvguidelines.org/full-report/references" TargetMode="External"/><Relationship Id="rId54" Type="http://schemas.openxmlformats.org/officeDocument/2006/relationships/hyperlink" Target="http://www.hcvguidelines.org/full-report/unique-patient-populations-patients-renal-impairment" TargetMode="External"/><Relationship Id="rId62" Type="http://schemas.openxmlformats.org/officeDocument/2006/relationships/hyperlink" Target="http://www.hcvguidelines.org/full-report/references" TargetMode="External"/><Relationship Id="rId70" Type="http://schemas.openxmlformats.org/officeDocument/2006/relationships/hyperlink" Target="http://www.hcvguidelines.org/full-report/references" TargetMode="External"/><Relationship Id="rId75" Type="http://schemas.openxmlformats.org/officeDocument/2006/relationships/hyperlink" Target="http://www.hcvguidelines.org/full-report/references" TargetMode="External"/><Relationship Id="rId83" Type="http://schemas.openxmlformats.org/officeDocument/2006/relationships/hyperlink" Target="http://www.hcvguidelines.org/full-report/references" TargetMode="External"/><Relationship Id="rId88" Type="http://schemas.openxmlformats.org/officeDocument/2006/relationships/hyperlink" Target="http://www.hcvguidelines.org/full-report/references" TargetMode="External"/><Relationship Id="rId91" Type="http://schemas.openxmlformats.org/officeDocument/2006/relationships/hyperlink" Target="http://www.hcvguidelines.org/full-report/references" TargetMode="External"/><Relationship Id="rId96" Type="http://schemas.openxmlformats.org/officeDocument/2006/relationships/hyperlink" Target="http://www.hcvguidelines.org/full-report/references" TargetMode="External"/><Relationship Id="rId1" Type="http://schemas.openxmlformats.org/officeDocument/2006/relationships/numbering" Target="numbering.xml"/><Relationship Id="rId6" Type="http://schemas.openxmlformats.org/officeDocument/2006/relationships/hyperlink" Target="http://www.hcvguidelines.org/" TargetMode="External"/><Relationship Id="rId15" Type="http://schemas.openxmlformats.org/officeDocument/2006/relationships/hyperlink" Target="http://www.hcvguidelines.org/full-report/unique-patient-populations-patients-renal-impairment" TargetMode="External"/><Relationship Id="rId23" Type="http://schemas.openxmlformats.org/officeDocument/2006/relationships/hyperlink" Target="http://www.hcvguidelines.org/full-report/references" TargetMode="External"/><Relationship Id="rId28" Type="http://schemas.openxmlformats.org/officeDocument/2006/relationships/hyperlink" Target="http://www.hcvguidelines.org/full-report/references" TargetMode="External"/><Relationship Id="rId36" Type="http://schemas.openxmlformats.org/officeDocument/2006/relationships/hyperlink" Target="http://www.rxabbvie.com/pdf/viekirapak_pi.pdf" TargetMode="External"/><Relationship Id="rId49" Type="http://schemas.openxmlformats.org/officeDocument/2006/relationships/hyperlink" Target="http://www.hcvguidelines.org/full-report/references" TargetMode="External"/><Relationship Id="rId57" Type="http://schemas.openxmlformats.org/officeDocument/2006/relationships/hyperlink" Target="http://www.hcvguidelines.org/full-report/references" TargetMode="External"/><Relationship Id="rId10" Type="http://schemas.openxmlformats.org/officeDocument/2006/relationships/hyperlink" Target="http://www.hcvguidelines.org/node/29" TargetMode="External"/><Relationship Id="rId31" Type="http://schemas.openxmlformats.org/officeDocument/2006/relationships/hyperlink" Target="http://www.rxabbvie.com/pdf/viekirapak_pi.pdf" TargetMode="External"/><Relationship Id="rId44" Type="http://schemas.openxmlformats.org/officeDocument/2006/relationships/hyperlink" Target="http://www.hcvguidelines.org/full-report/references" TargetMode="External"/><Relationship Id="rId52" Type="http://schemas.openxmlformats.org/officeDocument/2006/relationships/hyperlink" Target="http://www.hcvguidelines.org/full-report/unique-patient-populations-patients-decompensated-cirrhosis" TargetMode="External"/><Relationship Id="rId60" Type="http://schemas.openxmlformats.org/officeDocument/2006/relationships/hyperlink" Target="http://www.hcvguidelines.org/full-report/references" TargetMode="External"/><Relationship Id="rId65" Type="http://schemas.openxmlformats.org/officeDocument/2006/relationships/hyperlink" Target="http://www.hcvguidelines.org/full-report/references" TargetMode="External"/><Relationship Id="rId73" Type="http://schemas.openxmlformats.org/officeDocument/2006/relationships/hyperlink" Target="http://www.hcvguidelines.org/full-report/references" TargetMode="External"/><Relationship Id="rId78" Type="http://schemas.openxmlformats.org/officeDocument/2006/relationships/hyperlink" Target="http://www.hcvguidelines.org/full-report/references" TargetMode="External"/><Relationship Id="rId81" Type="http://schemas.openxmlformats.org/officeDocument/2006/relationships/hyperlink" Target="http://www.hcvguidelines.org/full-report/references" TargetMode="External"/><Relationship Id="rId86" Type="http://schemas.openxmlformats.org/officeDocument/2006/relationships/hyperlink" Target="http://www.hcvguidelines.org/full-report/references" TargetMode="External"/><Relationship Id="rId94" Type="http://schemas.openxmlformats.org/officeDocument/2006/relationships/hyperlink" Target="http://www.hcvguidelines.org/full-report/references" TargetMode="External"/><Relationship Id="rId99" Type="http://schemas.openxmlformats.org/officeDocument/2006/relationships/hyperlink" Target="http://www.hcvguidelines.org/full-report/references" TargetMode="External"/><Relationship Id="rId101" Type="http://schemas.openxmlformats.org/officeDocument/2006/relationships/hyperlink" Target="http://www.hcvguidelines.org/full-report/references" TargetMode="External"/><Relationship Id="rId4" Type="http://schemas.openxmlformats.org/officeDocument/2006/relationships/webSettings" Target="webSettings.xml"/><Relationship Id="rId9" Type="http://schemas.openxmlformats.org/officeDocument/2006/relationships/hyperlink" Target="http://www.hcvguidelines.org/node/72" TargetMode="External"/><Relationship Id="rId13" Type="http://schemas.openxmlformats.org/officeDocument/2006/relationships/hyperlink" Target="http://www.hcvguidelines.org/node/11" TargetMode="External"/><Relationship Id="rId18" Type="http://schemas.openxmlformats.org/officeDocument/2006/relationships/hyperlink" Target="http://www.hep-druginteractions.org/" TargetMode="External"/><Relationship Id="rId39" Type="http://schemas.openxmlformats.org/officeDocument/2006/relationships/hyperlink" Target="http://www.hcvguidelines.org/full-report/references" TargetMode="External"/><Relationship Id="rId34" Type="http://schemas.openxmlformats.org/officeDocument/2006/relationships/hyperlink" Target="http://www.rxabbvie.com/pdf/viekirapak_pi.pdf" TargetMode="External"/><Relationship Id="rId50" Type="http://schemas.openxmlformats.org/officeDocument/2006/relationships/hyperlink" Target="http://hcvguidelines.org/full-report/initial-treatment-hcv-infection" TargetMode="External"/><Relationship Id="rId55" Type="http://schemas.openxmlformats.org/officeDocument/2006/relationships/hyperlink" Target="http://www.hcvguidelines.org/full-report/references" TargetMode="External"/><Relationship Id="rId76" Type="http://schemas.openxmlformats.org/officeDocument/2006/relationships/hyperlink" Target="http://www.hcvguidelines.org/full-report/references" TargetMode="External"/><Relationship Id="rId97" Type="http://schemas.openxmlformats.org/officeDocument/2006/relationships/hyperlink" Target="http://www.hcvguidelines.org/full-report/references"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8981</Words>
  <Characters>51197</Characters>
  <Application>Microsoft Office Word</Application>
  <DocSecurity>0</DocSecurity>
  <Lines>426</Lines>
  <Paragraphs>120</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НАЧАЛЬНОЕ ЛЕЧЕНИЕ ИНФЕКЦИИ HCV</vt:lpstr>
      <vt:lpstr>    I. Генотип 1</vt:lpstr>
      <vt:lpstr>    A. Генотип 1a</vt:lpstr>
      <vt:lpstr>    B. Генотип 1b</vt:lpstr>
      <vt:lpstr>    II. Генотип 2</vt:lpstr>
      <vt:lpstr>    III. Генотип 3</vt:lpstr>
      <vt:lpstr>    IV. Генотип 4</vt:lpstr>
      <vt:lpstr>    V. Генотип 5 или 6</vt:lpstr>
      <vt:lpstr>        Смешанные генотипы</vt:lpstr>
    </vt:vector>
  </TitlesOfParts>
  <Company/>
  <LinksUpToDate>false</LinksUpToDate>
  <CharactersWithSpaces>60058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rus</dc:creator>
  <cp:keywords/>
  <dc:description/>
  <cp:lastModifiedBy>vlad rus</cp:lastModifiedBy>
  <cp:revision>1</cp:revision>
  <dcterms:created xsi:type="dcterms:W3CDTF">2016-02-11T18:30:00Z</dcterms:created>
  <dcterms:modified xsi:type="dcterms:W3CDTF">2016-02-11T18:30:00Z</dcterms:modified>
</cp:coreProperties>
</file>