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Препарат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Daklinza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Daklatasvir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был разработан ведущими учеными фармацевтической компании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Bristol-Myers</w:t>
      </w:r>
      <w:proofErr w:type="spellEnd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Squibb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лечения хронического вирусного гепатита С. </w:t>
      </w:r>
      <w:bookmarkStart w:id="0" w:name="_GoBack"/>
      <w:bookmarkEnd w:id="0"/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Лекарство получило одобрение Европейской комиссии по лекарственным средствам и с января 2015 года поступило в продажу.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ингибитор вирусного (вируса гепатита С) белка NS5A, который используется при репликации вируса гепатита С внутри клеток печени (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гепатоцитов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и, таким образом, препятствует поступлению вируса из зараженных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гепатоцитов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кровь. Благодаря такому действию, удается предотвратить распространение вируса в организме.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Состав препарата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выпускается в виде двояковыпуклых зеленых таблеток (покрытых оболочкой), содержащих 30 или 60 мг действующего вещества.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Действующим веществом является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Даклатасвир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К вспомогательным веществам относятся:</w:t>
      </w:r>
    </w:p>
    <w:p w:rsidR="000B6DA9" w:rsidRPr="008452B9" w:rsidRDefault="000B6DA9" w:rsidP="000B6D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Диоксид кремния;</w:t>
      </w:r>
    </w:p>
    <w:p w:rsidR="000B6DA9" w:rsidRPr="008452B9" w:rsidRDefault="000B6DA9" w:rsidP="000B6D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Стеарат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магния;</w:t>
      </w:r>
    </w:p>
    <w:p w:rsidR="000B6DA9" w:rsidRPr="008452B9" w:rsidRDefault="000B6DA9" w:rsidP="000B6D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Целлюлоза;</w:t>
      </w:r>
    </w:p>
    <w:p w:rsidR="000B6DA9" w:rsidRPr="008452B9" w:rsidRDefault="000B6DA9" w:rsidP="000B6DA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Кросскармелоза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натрия.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состав оболочки входит желтый оксид железа, диоксид титана,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гипроммелоза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Фармакологическое действие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Активное вещество препарата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Даклатасвир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блокирует вирус гепатита С в клетках, тем самым препятствуя его размножению и выделению в кровь. Чтобы действие лекарства было максимально эффективным, его используют в комплексной противовирусной терапии гепатита С в комбинации с другими противовирусными препаратами.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применяются схемы применения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Даклинзы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Даклатасвира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вместе с препаратом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Совальди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софосбувир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с препаратом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Сунвепра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Асунапревир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 с препаратами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пегинтерферон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-альфа +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рибавирин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Показание к применению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Препарат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предназначен для лечения гепатита С (генотипы вируса: 1, 2, 3 и 4) в комбинации с другими лекарственными средствами. Проведенные клинические испытания показали, что </w:t>
      </w:r>
      <w:proofErr w:type="spellStart"/>
      <w:proofErr w:type="gram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Даклатасвир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  является</w:t>
      </w:r>
      <w:proofErr w:type="gram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безопасным и эффективным средством борьбы с гепатитом С.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Через 12 недель после того, как пациенты прошли курс лечение препаратом, у 90% из них был отмечен устойчивый вирусологический ответ. Эти данные относятся к тем людям, для которых терапия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Даклинзой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Даклатасвиром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) была первичной.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Устойчивый вирусологический ответ через 12 недель после проведенной терапии среди пациентов, уже проходивших ранее курс лечения от гепатита С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рибавирином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пэгинтерфероном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 не получивших устойчивого вирусологического ответа на лечение</w:t>
      </w:r>
      <w:proofErr w:type="gram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),  был</w:t>
      </w:r>
      <w:proofErr w:type="gram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выявлен в 82% случаев.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Препарат оказывает одинаковое действие, как при генотипе 1, так и при генотипе 4. </w:t>
      </w:r>
      <w:r w:rsidR="002A792D"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>16 из 18 пациентов с гепатитом С генотипа 3 излечивались через 12 недель после окончания курса.</w:t>
      </w:r>
    </w:p>
    <w:p w:rsidR="000B6DA9" w:rsidRPr="008452B9" w:rsidRDefault="000B6DA9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Таблица 1</w:t>
      </w: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Рекомендуемые схемы и продолжительность лечения для комбинированной терапии с использованием препарата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</w:p>
    <w:tbl>
      <w:tblPr>
        <w:tblW w:w="5389" w:type="pct"/>
        <w:tblInd w:w="-29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4"/>
        <w:gridCol w:w="3209"/>
        <w:gridCol w:w="4483"/>
      </w:tblGrid>
      <w:tr w:rsidR="000B6DA9" w:rsidRPr="008452B9" w:rsidTr="000B6DA9">
        <w:tc>
          <w:tcPr>
            <w:tcW w:w="11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Генотип вируса и категория пациентов</w:t>
            </w:r>
          </w:p>
        </w:tc>
        <w:tc>
          <w:tcPr>
            <w:tcW w:w="15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Схема терапии</w:t>
            </w:r>
          </w:p>
        </w:tc>
        <w:tc>
          <w:tcPr>
            <w:tcW w:w="2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Длительность терапии</w:t>
            </w:r>
          </w:p>
        </w:tc>
      </w:tr>
      <w:tr w:rsidR="000B6DA9" w:rsidRPr="008452B9" w:rsidTr="000B6DA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Генотип 1 или 4, пациенты без цирроза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Даклинза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Совальди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софосбувир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недель. Возможно продление терапии до 24 недель у пациентов, ранее лечившихся другими препаратами, включая схемы терапии с ингибиторами протеазы NS3/4A</w:t>
            </w:r>
          </w:p>
        </w:tc>
      </w:tr>
      <w:tr w:rsidR="000B6DA9" w:rsidRPr="008452B9" w:rsidTr="000B6DA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Генотип 1 или 4, пациенты с компенсированным циррозом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Даклинза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Совальди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софосбувир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2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24 недели. Может быть </w:t>
            </w:r>
            <w:proofErr w:type="gram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рассмотрен  вариант</w:t>
            </w:r>
            <w:proofErr w:type="gram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сокращения продолжительности лечения до 12 недель для ранее не лечившихся пациентов с циррозом печени и при положительных прогностических факторах, таких как генотип СС (IL28B)  и / или при низкой исходной вирусной нагрузке. </w:t>
            </w: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Может добавляться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рибавирин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для пациентов с очень поздней стадией заболевания печени или при наличии других негативных прогностических факторов, к примеру, таких как предыдущий опыт лечения.</w:t>
            </w:r>
          </w:p>
        </w:tc>
      </w:tr>
      <w:tr w:rsidR="000B6DA9" w:rsidRPr="008452B9" w:rsidTr="000B6DA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Генотип 2, пациенты с компенсированным циррозом или имевшие ранее неудачную терапию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Даклинза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+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Совальди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софосбувир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)+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рибавирин</w:t>
            </w:r>
            <w:proofErr w:type="spellEnd"/>
          </w:p>
        </w:tc>
        <w:tc>
          <w:tcPr>
            <w:tcW w:w="2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 недели</w:t>
            </w:r>
          </w:p>
        </w:tc>
      </w:tr>
      <w:tr w:rsidR="000B6DA9" w:rsidRPr="008452B9" w:rsidTr="000B6DA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Генотип 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Даклинза+пегинтерферон-альфа+рибавирин</w:t>
            </w:r>
            <w:proofErr w:type="spellEnd"/>
          </w:p>
        </w:tc>
        <w:tc>
          <w:tcPr>
            <w:tcW w:w="22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6DA9" w:rsidRPr="008452B9" w:rsidRDefault="000B6DA9" w:rsidP="000B6DA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24 недели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Даклинза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в сочетании с 24-48 недель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пегинтерферон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-альфа и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рибавирин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Если на 4-й и 12-й неделях терапии вирус в крови не определяется, то все три препарата применяются в течение 24 недель.</w:t>
            </w: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Если только на 12-й неделе вирус перестанет определяться в крови, то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Даклинза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применяется 24 недели, а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пегинтерферон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рибавирин</w:t>
            </w:r>
            <w:proofErr w:type="spellEnd"/>
            <w:r w:rsidRPr="008452B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- 48 недель.</w:t>
            </w:r>
          </w:p>
        </w:tc>
      </w:tr>
    </w:tbl>
    <w:p w:rsidR="000B6DA9" w:rsidRPr="008452B9" w:rsidRDefault="000B6DA9" w:rsidP="000B6D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6DA9" w:rsidRPr="008452B9" w:rsidRDefault="000B6DA9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0B6DA9" w:rsidRPr="008452B9" w:rsidRDefault="000B6DA9" w:rsidP="000B6D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B6DA9" w:rsidRPr="008452B9" w:rsidRDefault="000B6DA9" w:rsidP="000B6D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ПРОТИВОПОКАЗАНИЯ ПРЕПАРАТА ДАКЛИНЗА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Препарат имеет ряд важных противопоказаний, которые нужно учитывать при назначении лекарства. Они следующие:</w:t>
      </w:r>
    </w:p>
    <w:p w:rsidR="000B6DA9" w:rsidRPr="008452B9" w:rsidRDefault="000B6DA9" w:rsidP="000B6D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Индивидуальная непереносимость действующего вещества или вспомогательных компонентов</w:t>
      </w:r>
    </w:p>
    <w:p w:rsidR="000B6DA9" w:rsidRPr="008452B9" w:rsidRDefault="000B6DA9" w:rsidP="000B6D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возраст до восемнадцати лет</w:t>
      </w:r>
    </w:p>
    <w:p w:rsidR="000B6DA9" w:rsidRPr="008452B9" w:rsidRDefault="000B6DA9" w:rsidP="000B6D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Беременность и период грудного вскармливания</w:t>
      </w:r>
    </w:p>
    <w:p w:rsidR="000B6DA9" w:rsidRPr="008452B9" w:rsidRDefault="000B6DA9" w:rsidP="000B6DA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Монотерапия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Препарат нужно использовать с осторожностью, если у больного диагностирован цирроз печени. Эффективность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Даклинзы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резко снижается при комбинации с лекарствами, которые в значительной степени индуцируют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цитохром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гликопротеин. Сюда можно отнести: зверобой,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рифабутин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карбамазепин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окскарбазепин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рифампицин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дексаметазон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фенобарбитал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женщина проходит курс терапии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она должна позаботиться о эффективных методах контрацепции и избегать беременности еще пять недель после окончания курса. Это же правило действует для партнерши мужчины, который проходит терапию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Даклинзой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Люди, перенесшие трансплантацию или другие виды хирургических процедур на печени должны принимать лекарство под строгим наблюдением лечащего врача.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Детям использовать препарат нельзя, из-за недостаточных исследований.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Пожилые люди могут использовать общую установленную дозу.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есть повышенная чувствительность и непереносимость лактозы, препарат использовать нельзя.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достаточных данных при использовании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период лактации, но исследования на подопытных животных установили проникновение некоторых компонентов в молоко, поэтому кормящие женщины должны избегать приема препарата или прекращать грудное вскармливание при назначении терапии.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Возможные побочные эффекты </w:t>
      </w:r>
    </w:p>
    <w:p w:rsidR="00393104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и все лекарственные средства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вызывать побочные эффекты (хотя и не у всех). </w:t>
      </w:r>
    </w:p>
    <w:p w:rsidR="00393104" w:rsidRPr="008452B9" w:rsidRDefault="00393104" w:rsidP="00393104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/>
          <w:color w:val="424242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lastRenderedPageBreak/>
        <w:t xml:space="preserve">Во время лечения </w:t>
      </w:r>
      <w:proofErr w:type="spellStart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>даклатасвиром</w:t>
      </w:r>
      <w:proofErr w:type="spellEnd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 xml:space="preserve"> в комбинации с </w:t>
      </w:r>
      <w:proofErr w:type="spellStart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>рибавирином</w:t>
      </w:r>
      <w:proofErr w:type="spellEnd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 xml:space="preserve"> и </w:t>
      </w:r>
      <w:proofErr w:type="spellStart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>пэгинтерфероном</w:t>
      </w:r>
      <w:proofErr w:type="spellEnd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 xml:space="preserve"> альфа отмечаются побочные эффекты: головокружение, ухудшение зрения, нарушение внимания. В таких случаях следует избегать вождения автомобиля. Кроме этого, могут возникнуть: бессонница, сыпь, потеря аппетита, раздражительность, анемия, тошнота, сухость кожи, боль в суставах, диарея, одышка, кашель. Отмечаются состояния 1 и 2 степени тяжести, тяжелые нарушения встречаются редко.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При принятии препарата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сочетании с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софосбувиром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 или без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рибавирина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было зарегистрировано следующие побочные эффекты: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Очень часто</w:t>
      </w: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(может возникать более, чем у 1 из 10 пациентов)</w:t>
      </w:r>
    </w:p>
    <w:p w:rsidR="000B6DA9" w:rsidRPr="008452B9" w:rsidRDefault="000B6DA9" w:rsidP="000B6DA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головная боль, тошнота, усталость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Часто</w:t>
      </w: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(может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провляться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менее, чем у 1 из 10 пациентов)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снижение аппетита, 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плохой сон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мигрень 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головокружение 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одышку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зуд, сухость кожи, необычная потеря или истончение волос, сыпь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диарея, боли в верхней половине живота, запор, вздутие живота желудка или кишечника, жжение изжога, рвота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кашель, заложенность носа, сухость во рту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боли в суставах, боли в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мышцахх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(не при физической нагрузке)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депрессия, беспокойство, раздражительность</w:t>
      </w:r>
    </w:p>
    <w:p w:rsidR="000B6DA9" w:rsidRPr="008452B9" w:rsidRDefault="000B6DA9" w:rsidP="000B6DA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анемия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Способ применения и дозировка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Препарат применяется по одной таблетки в день в установленной дозе 30/60 мг. Таблетку нельзя разжевывать или измельчать, необходимо глотать целиком, запивая небольшим количеством воды. Прием лекарства не зависит от времени приема пищи и может осуществляться, как во время еды, так и после.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Курс лечения должен устанавливать врач. Он же устанавливает дозу, проводит ее корректировку, если параллельно принимаются другие препараты, мешающие действию препарата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Препарат всегда должен применяться в комплексе с другими лекарственными средствами, например: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рибавирином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Совальди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софосбувир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пэгинтерфероном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альфа. Курс лечения может продолжаться от </w:t>
      </w: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12 до 24 недель и устанавливается лечащим врачом, в зависимости от особенностей протекания заболевания у пациента.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 каким-то причинам пропущена дневная доза лекарства, ее можно принять, пока не прошло 20 часов с момента последнего приема или пропустить и продолжить прием в обычном режиме. Двойную дозу использовать нельзя.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во время курса терапии с применением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даклатасвира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появились побочные эффекты 1 и 2 степени тяжести, следует продолжить прием препарата в обычном режиме. При осложнениях высокой степени тяжести или неэффективности лечения курс необходимо прервать.</w:t>
      </w:r>
    </w:p>
    <w:p w:rsidR="00393104" w:rsidRPr="008452B9" w:rsidRDefault="00393104" w:rsidP="00393104">
      <w:pPr>
        <w:shd w:val="clear" w:color="auto" w:fill="FFFFFF"/>
        <w:spacing w:before="100" w:beforeAutospacing="1" w:after="100" w:afterAutospacing="1" w:line="270" w:lineRule="atLeast"/>
        <w:rPr>
          <w:rFonts w:ascii="Times New Roman" w:eastAsia="Times New Roman" w:hAnsi="Times New Roman"/>
          <w:color w:val="424242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 xml:space="preserve">Пациентам с хронической формой гепатита С генотипа 1 и 4 назначается курс терапии препаратом на 12 месяцев, если они ранее не проходили лечения другими лекарствами. Для тех, кто безрезультатно лечился другими средствами, терапия </w:t>
      </w:r>
      <w:proofErr w:type="spellStart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>даклатасвиром</w:t>
      </w:r>
      <w:proofErr w:type="spellEnd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 xml:space="preserve"> и </w:t>
      </w:r>
      <w:proofErr w:type="spellStart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>софосбувиром</w:t>
      </w:r>
      <w:proofErr w:type="spellEnd"/>
      <w:r w:rsidRPr="008452B9">
        <w:rPr>
          <w:rFonts w:ascii="Times New Roman" w:eastAsia="Times New Roman" w:hAnsi="Times New Roman"/>
          <w:color w:val="424242"/>
          <w:sz w:val="28"/>
          <w:szCs w:val="28"/>
          <w:lang w:eastAsia="ru-RU"/>
        </w:rPr>
        <w:t xml:space="preserve"> может быть продлена до 24 недель. Для пациентов с гепатитом С генотипа 3, циррозом печени продолжительность применения данных препаратов составит 24 недели.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Лечение нужно прекратить в том случае, если получен неадекватный вирусологический ответ, так как маловероятно, что будет получен положительный результат.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Доза препарата </w:t>
      </w: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должна устанавливаться ниже 30 мг. </w:t>
      </w:r>
    </w:p>
    <w:p w:rsidR="000B6DA9" w:rsidRPr="008452B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Корректировка дозы не требуется у людей, достигших 65-летнего возраста, у пациентов с почечной, печеночной недостаточностью и циррозом печени. </w:t>
      </w:r>
    </w:p>
    <w:p w:rsidR="000B6DA9" w:rsidRPr="000B6DA9" w:rsidRDefault="000B6DA9" w:rsidP="000B6D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8452B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Даклинза</w:t>
      </w:r>
      <w:proofErr w:type="spellEnd"/>
      <w:r w:rsidRPr="008452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используется для лечения детей, так как нет полных данных о его влиянии на детский организм</w:t>
      </w:r>
    </w:p>
    <w:p w:rsidR="00FB5FF5" w:rsidRDefault="00FB5FF5">
      <w:pPr>
        <w:rPr>
          <w:rFonts w:ascii="Times New Roman" w:hAnsi="Times New Roman" w:cs="Times New Roman"/>
          <w:sz w:val="28"/>
          <w:szCs w:val="28"/>
        </w:rPr>
      </w:pPr>
    </w:p>
    <w:sectPr w:rsidR="00FB5F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07B00"/>
    <w:multiLevelType w:val="multilevel"/>
    <w:tmpl w:val="FE5E1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F24E3B"/>
    <w:multiLevelType w:val="multilevel"/>
    <w:tmpl w:val="0B785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ABA14A4"/>
    <w:multiLevelType w:val="multilevel"/>
    <w:tmpl w:val="FE5A8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046FB1"/>
    <w:multiLevelType w:val="multilevel"/>
    <w:tmpl w:val="66DC5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5A656F"/>
    <w:multiLevelType w:val="multilevel"/>
    <w:tmpl w:val="37D8A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6B008D"/>
    <w:multiLevelType w:val="multilevel"/>
    <w:tmpl w:val="85FC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DA9"/>
    <w:rsid w:val="000B6DA9"/>
    <w:rsid w:val="002A792D"/>
    <w:rsid w:val="00393104"/>
    <w:rsid w:val="00490692"/>
    <w:rsid w:val="008452B9"/>
    <w:rsid w:val="00A75BCC"/>
    <w:rsid w:val="00FB5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C12D2-CEFC-48F9-B08B-48BBA30B4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22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03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45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40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1339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Windows User</cp:lastModifiedBy>
  <cp:revision>4</cp:revision>
  <dcterms:created xsi:type="dcterms:W3CDTF">2015-05-04T03:28:00Z</dcterms:created>
  <dcterms:modified xsi:type="dcterms:W3CDTF">2015-05-04T03:29:00Z</dcterms:modified>
</cp:coreProperties>
</file>