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2181" w:rsidRPr="000E2181" w:rsidRDefault="000E2181" w:rsidP="000E218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0E2181">
        <w:rPr>
          <w:rFonts w:ascii="Times New Roman" w:eastAsia="Times New Roman" w:hAnsi="Times New Roman" w:cs="Times New Roman"/>
          <w:b/>
          <w:bCs/>
          <w:kern w:val="36"/>
          <w:sz w:val="48"/>
          <w:szCs w:val="48"/>
          <w:lang w:eastAsia="ru-RU"/>
        </w:rPr>
        <w:t xml:space="preserve">Регенерация лиц в КОГО предшествующей терапии не удалось </w:t>
      </w:r>
    </w:p>
    <w:p w:rsidR="000E2181" w:rsidRPr="000E2181" w:rsidRDefault="000E2181" w:rsidP="000E2181">
      <w:pPr>
        <w:spacing w:after="0" w:line="240" w:lineRule="auto"/>
        <w:rPr>
          <w:rFonts w:ascii="Times New Roman" w:eastAsia="Times New Roman" w:hAnsi="Times New Roman" w:cs="Times New Roman"/>
          <w:sz w:val="24"/>
          <w:szCs w:val="24"/>
          <w:lang w:eastAsia="ru-RU"/>
        </w:rPr>
      </w:pPr>
      <w:hyperlink r:id="rId5" w:tooltip="Отображение версию для печати этой страницы." w:history="1">
        <w:r w:rsidRPr="000E2181">
          <w:rPr>
            <w:rFonts w:ascii="Times New Roman" w:eastAsia="Times New Roman" w:hAnsi="Times New Roman" w:cs="Times New Roman"/>
            <w:color w:val="0000FF"/>
            <w:sz w:val="24"/>
            <w:szCs w:val="24"/>
            <w:u w:val="single"/>
            <w:lang w:eastAsia="ru-RU"/>
          </w:rPr>
          <w:t xml:space="preserve">Версия для печати </w:t>
        </w:r>
      </w:hyperlink>
      <w:hyperlink r:id="rId6" w:tooltip="Отображение PDF версию этой страницы." w:history="1">
        <w:r w:rsidRPr="000E2181">
          <w:rPr>
            <w:rFonts w:ascii="Times New Roman" w:eastAsia="Times New Roman" w:hAnsi="Times New Roman" w:cs="Times New Roman"/>
            <w:color w:val="0000FF"/>
            <w:sz w:val="24"/>
            <w:szCs w:val="24"/>
            <w:u w:val="single"/>
            <w:lang w:eastAsia="ru-RU"/>
          </w:rPr>
          <w:t>в формате PDF Версия</w:t>
        </w:r>
      </w:hyperlink>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xml:space="preserve">Расширения и ноты для сокращений, используемых в данном разделе, можно найти в </w:t>
      </w:r>
      <w:hyperlink r:id="rId7" w:history="1">
        <w:r w:rsidRPr="000E2181">
          <w:rPr>
            <w:rFonts w:ascii="Times New Roman" w:eastAsia="Times New Roman" w:hAnsi="Times New Roman" w:cs="Times New Roman"/>
            <w:color w:val="0000FF"/>
            <w:sz w:val="24"/>
            <w:szCs w:val="24"/>
            <w:u w:val="single"/>
            <w:lang w:eastAsia="ru-RU"/>
          </w:rPr>
          <w:t>Methods таблице 3.</w:t>
        </w:r>
      </w:hyperlink>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b/>
          <w:bCs/>
          <w:i/>
          <w:iCs/>
          <w:sz w:val="24"/>
          <w:szCs w:val="24"/>
          <w:lang w:eastAsia="ru-RU"/>
        </w:rPr>
        <w:t>Резюме рекомендаций для повторного находится в коробке.</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В этом разделе приведены указания по повторной лица с хронической HCV-инфекции, в которых до терапии не удалось.</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xml:space="preserve">Уровень доказательств, подтверждающих лучшее лечение для каждого пациента и силу рекомендации различаются, и рассчитаны таким же образом, как в других разделах по начальной обработке нелеченных больных </w:t>
      </w:r>
      <w:hyperlink r:id="rId8" w:history="1">
        <w:r w:rsidRPr="000E2181">
          <w:rPr>
            <w:rFonts w:ascii="Times New Roman" w:eastAsia="Times New Roman" w:hAnsi="Times New Roman" w:cs="Times New Roman"/>
            <w:b/>
            <w:bCs/>
            <w:color w:val="0000FF"/>
            <w:sz w:val="24"/>
            <w:szCs w:val="24"/>
            <w:u w:val="single"/>
            <w:lang w:eastAsia="ru-RU"/>
          </w:rPr>
          <w:t xml:space="preserve">(методы 2 </w:t>
        </w:r>
      </w:hyperlink>
      <w:r w:rsidRPr="000E2181">
        <w:rPr>
          <w:rFonts w:ascii="Times New Roman" w:eastAsia="Times New Roman" w:hAnsi="Times New Roman" w:cs="Times New Roman"/>
          <w:sz w:val="24"/>
          <w:szCs w:val="24"/>
          <w:lang w:eastAsia="ru-RU"/>
        </w:rPr>
        <w:t xml:space="preserve">табл). Кроме того, конкретные рекомендации даны, когда лечение отличается для определенной группы (например, те, инфицированных различными генотипами). Режим в это гриф "Рекомендовано", когда он выступает для большинства пациентов или "Альтернатива", когда это может быть оптимальным в конкретной подгруппе пациентов в этой категории. Когда лечение явно уступает или не должны быть использованы, это классифицируется как "не рекомендуется." Если не указано иное, такие схемы не должны быть введены пациентам с ВГС-инфекции. Конкретные соображения лиц с </w:t>
      </w:r>
      <w:hyperlink r:id="rId9" w:history="1">
        <w:r w:rsidRPr="000E2181">
          <w:rPr>
            <w:rFonts w:ascii="Times New Roman" w:eastAsia="Times New Roman" w:hAnsi="Times New Roman" w:cs="Times New Roman"/>
            <w:color w:val="0000FF"/>
            <w:sz w:val="24"/>
            <w:szCs w:val="24"/>
            <w:u w:val="single"/>
            <w:lang w:eastAsia="ru-RU"/>
          </w:rPr>
          <w:t xml:space="preserve">сочетанной ВИЧ / </w:t>
        </w:r>
      </w:hyperlink>
      <w:r w:rsidRPr="000E2181">
        <w:rPr>
          <w:rFonts w:ascii="Times New Roman" w:eastAsia="Times New Roman" w:hAnsi="Times New Roman" w:cs="Times New Roman"/>
          <w:sz w:val="24"/>
          <w:szCs w:val="24"/>
          <w:lang w:eastAsia="ru-RU"/>
        </w:rPr>
        <w:t xml:space="preserve">ВГС, </w:t>
      </w:r>
      <w:hyperlink r:id="rId10" w:history="1">
        <w:r w:rsidRPr="000E2181">
          <w:rPr>
            <w:rFonts w:ascii="Times New Roman" w:eastAsia="Times New Roman" w:hAnsi="Times New Roman" w:cs="Times New Roman"/>
            <w:color w:val="0000FF"/>
            <w:sz w:val="24"/>
            <w:szCs w:val="24"/>
            <w:u w:val="single"/>
            <w:lang w:eastAsia="ru-RU"/>
          </w:rPr>
          <w:t>декомпенсированным циррозом</w:t>
        </w:r>
      </w:hyperlink>
      <w:r w:rsidRPr="000E2181">
        <w:rPr>
          <w:rFonts w:ascii="Times New Roman" w:eastAsia="Times New Roman" w:hAnsi="Times New Roman" w:cs="Times New Roman"/>
          <w:sz w:val="24"/>
          <w:szCs w:val="24"/>
          <w:lang w:eastAsia="ru-RU"/>
        </w:rPr>
        <w:t xml:space="preserve"> (умеренной или тяжелой печеночной нарушениями; </w:t>
      </w:r>
      <w:hyperlink r:id="rId11" w:anchor="ctpclass" w:history="1">
        <w:r w:rsidRPr="000E2181">
          <w:rPr>
            <w:rFonts w:ascii="Times New Roman" w:eastAsia="Times New Roman" w:hAnsi="Times New Roman" w:cs="Times New Roman"/>
            <w:color w:val="0000FF"/>
            <w:sz w:val="24"/>
            <w:szCs w:val="24"/>
            <w:u w:val="single"/>
            <w:lang w:eastAsia="ru-RU"/>
          </w:rPr>
          <w:t xml:space="preserve">Детский Теркотт Пью [CTP] Класс B или </w:t>
        </w:r>
      </w:hyperlink>
      <w:r w:rsidRPr="000E2181">
        <w:rPr>
          <w:rFonts w:ascii="Times New Roman" w:eastAsia="Times New Roman" w:hAnsi="Times New Roman" w:cs="Times New Roman"/>
          <w:sz w:val="24"/>
          <w:szCs w:val="24"/>
          <w:lang w:eastAsia="ru-RU"/>
        </w:rPr>
        <w:t xml:space="preserve">С), инфекции ВГС </w:t>
      </w:r>
      <w:hyperlink r:id="rId12" w:history="1">
        <w:r w:rsidRPr="000E2181">
          <w:rPr>
            <w:rFonts w:ascii="Times New Roman" w:eastAsia="Times New Roman" w:hAnsi="Times New Roman" w:cs="Times New Roman"/>
            <w:color w:val="0000FF"/>
            <w:sz w:val="24"/>
            <w:szCs w:val="24"/>
            <w:u w:val="single"/>
            <w:lang w:eastAsia="ru-RU"/>
          </w:rPr>
          <w:t>после пересадки</w:t>
        </w:r>
      </w:hyperlink>
      <w:r w:rsidRPr="000E2181">
        <w:rPr>
          <w:rFonts w:ascii="Times New Roman" w:eastAsia="Times New Roman" w:hAnsi="Times New Roman" w:cs="Times New Roman"/>
          <w:sz w:val="24"/>
          <w:szCs w:val="24"/>
          <w:lang w:eastAsia="ru-RU"/>
        </w:rPr>
        <w:t xml:space="preserve"> </w:t>
      </w:r>
      <w:hyperlink r:id="rId13" w:history="1">
        <w:r w:rsidRPr="000E2181">
          <w:rPr>
            <w:rFonts w:ascii="Times New Roman" w:eastAsia="Times New Roman" w:hAnsi="Times New Roman" w:cs="Times New Roman"/>
            <w:color w:val="0000FF"/>
            <w:sz w:val="24"/>
            <w:szCs w:val="24"/>
            <w:u w:val="single"/>
            <w:lang w:eastAsia="ru-RU"/>
          </w:rPr>
          <w:t xml:space="preserve">жир, и те, с тяжелой </w:t>
        </w:r>
      </w:hyperlink>
      <w:hyperlink r:id="rId14" w:history="1">
        <w:r w:rsidRPr="000E2181">
          <w:rPr>
            <w:rFonts w:ascii="Times New Roman" w:eastAsia="Times New Roman" w:hAnsi="Times New Roman" w:cs="Times New Roman"/>
            <w:color w:val="0000FF"/>
            <w:sz w:val="24"/>
            <w:szCs w:val="24"/>
            <w:u w:val="single"/>
            <w:lang w:eastAsia="ru-RU"/>
          </w:rPr>
          <w:t>почечной недостаточностью</w:t>
        </w:r>
      </w:hyperlink>
      <w:r w:rsidRPr="000E2181">
        <w:rPr>
          <w:rFonts w:ascii="Times New Roman" w:eastAsia="Times New Roman" w:hAnsi="Times New Roman" w:cs="Times New Roman"/>
          <w:sz w:val="24"/>
          <w:szCs w:val="24"/>
          <w:lang w:eastAsia="ru-RU"/>
        </w:rPr>
        <w:t xml:space="preserve"> или терминальной стадии почечной болезни рассматриваются в других разделах Руководства.</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xml:space="preserve">Когда несколько схем предлагаются на том же уровне рекомендации, выбор режима должны быть основаны на данных конкретного пациента, в том числе потенциальных лекарственных взаимодействий. Как всегда, у пациентов, получающих прямого действия противовирусной (DAA) терапии требует тщательной оценки предварительной обработки для сопутствующих заболеваний, которые могут повлиять ответа на лечение. Все пациенты должны иметь тщательный мониторинг во время лечения, особенно при малокровии, если рибавирина входит в режим. (См </w:t>
      </w:r>
      <w:hyperlink r:id="rId15" w:history="1">
        <w:r w:rsidRPr="000E2181">
          <w:rPr>
            <w:rFonts w:ascii="Times New Roman" w:eastAsia="Times New Roman" w:hAnsi="Times New Roman" w:cs="Times New Roman"/>
            <w:b/>
            <w:bCs/>
            <w:color w:val="0000FF"/>
            <w:sz w:val="24"/>
            <w:szCs w:val="24"/>
            <w:u w:val="single"/>
            <w:lang w:eastAsia="ru-RU"/>
          </w:rPr>
          <w:t xml:space="preserve">раздел </w:t>
        </w:r>
      </w:hyperlink>
      <w:r w:rsidRPr="000E2181">
        <w:rPr>
          <w:rFonts w:ascii="Times New Roman" w:eastAsia="Times New Roman" w:hAnsi="Times New Roman" w:cs="Times New Roman"/>
          <w:sz w:val="24"/>
          <w:szCs w:val="24"/>
          <w:lang w:eastAsia="ru-RU"/>
        </w:rPr>
        <w:t>мониторинга)</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bookmarkStart w:id="1" w:name="genotype1"/>
      <w:bookmarkEnd w:id="1"/>
      <w:r w:rsidRPr="000E2181">
        <w:rPr>
          <w:rFonts w:ascii="Times New Roman" w:eastAsia="Times New Roman" w:hAnsi="Times New Roman" w:cs="Times New Roman"/>
          <w:b/>
          <w:bCs/>
          <w:color w:val="638B7D"/>
          <w:sz w:val="31"/>
          <w:szCs w:val="31"/>
          <w:lang w:eastAsia="ru-RU"/>
        </w:rPr>
        <w:t>И. Генотип 1</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Три очень мощные оральных схемы сочетание DAA рекомендуется для пациентов с ВГС генотипа 1 инфекции, хотя есть различия в рекомендуемых схем, основанных на субтипа вируса. С некоторых схем лечения, пациентов, инфицированных генотипом 1а с может иметь более высокие темпы провал, чем вирусологического инфицированных генотипом 1b с. 1 генотипом ВГС-инфекции, которые не могут быть подтипы должны рассматриваться как генотип 1а инфекции.</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xml:space="preserve">Введение Daas в схемах лечения ВГС повышает риск лекарственных взаимодействий с другими сопутствующими препаратами, которые используются пациентами, и теперь с комбинациями Daas, внимание к наркотиков взаимодействий все более важным (см </w:t>
      </w:r>
      <w:hyperlink r:id="rId16" w:anchor="drug-interactions" w:history="1">
        <w:r w:rsidRPr="000E2181">
          <w:rPr>
            <w:rFonts w:ascii="Times New Roman" w:eastAsia="Times New Roman" w:hAnsi="Times New Roman" w:cs="Times New Roman"/>
            <w:b/>
            <w:bCs/>
            <w:color w:val="0000FF"/>
            <w:sz w:val="24"/>
            <w:szCs w:val="24"/>
            <w:u w:val="single"/>
            <w:lang w:eastAsia="ru-RU"/>
          </w:rPr>
          <w:t xml:space="preserve">наркотиков взаимодействий </w:t>
        </w:r>
      </w:hyperlink>
      <w:r w:rsidRPr="000E2181">
        <w:rPr>
          <w:rFonts w:ascii="Times New Roman" w:eastAsia="Times New Roman" w:hAnsi="Times New Roman" w:cs="Times New Roman"/>
          <w:sz w:val="24"/>
          <w:szCs w:val="24"/>
          <w:lang w:eastAsia="ru-RU"/>
        </w:rPr>
        <w:t xml:space="preserve">таблицу). Продукт прописывания информации и других ресурсов (например, </w:t>
      </w:r>
      <w:hyperlink r:id="rId17" w:history="1">
        <w:r w:rsidRPr="000E2181">
          <w:rPr>
            <w:rFonts w:ascii="Times New Roman" w:eastAsia="Times New Roman" w:hAnsi="Times New Roman" w:cs="Times New Roman"/>
            <w:b/>
            <w:bCs/>
            <w:color w:val="0000FF"/>
            <w:sz w:val="24"/>
            <w:szCs w:val="24"/>
            <w:u w:val="single"/>
            <w:lang w:eastAsia="ru-RU"/>
          </w:rPr>
          <w:t xml:space="preserve">http://www.hep-druginteractions.org) должна быть ссылка регулярно, чтобы обеспечить безопасность при назначении схемы DAA. </w:t>
        </w:r>
      </w:hyperlink>
      <w:r w:rsidRPr="000E2181">
        <w:rPr>
          <w:rFonts w:ascii="Times New Roman" w:eastAsia="Times New Roman" w:hAnsi="Times New Roman" w:cs="Times New Roman"/>
          <w:sz w:val="24"/>
          <w:szCs w:val="24"/>
          <w:lang w:eastAsia="ru-RU"/>
        </w:rPr>
        <w:t>В частности, в день комбинацию фиксированной дозы ledipasvir (90 мг) и софосбувир (400 мг) (далее ledipasvir / софосбувир) имеет потенциальное взаимодействие с кислотой подавления препараты (например, ингибиторы протонного насоса), который может привести к снижению абсорбции ledipasvir и нижние воздействия. Из-за более-внебиржевом доступ к кислотно-подавления лекарства, комплексная оценка всех предписанных и более-рецепта лекарства рекомендуется до начала лечения. Если это возможно, кислотные подавления лекарства должны быть проведены до и в период лечения ВГС при ledipasvir используется для оптимизации экспозиции ledipasvir. Для пациентов, у которых прерывание кислоты подавления не представляется возможным, использование другого режима или изменения в дозирования кислоты для подавления рекомендуется за предписывающее информации.</w:t>
      </w:r>
      <w:r w:rsidRPr="000E2181">
        <w:rPr>
          <w:rFonts w:ascii="Times New Roman" w:eastAsia="Times New Roman" w:hAnsi="Times New Roman" w:cs="Times New Roman"/>
          <w:b/>
          <w:bCs/>
          <w:sz w:val="24"/>
          <w:szCs w:val="24"/>
          <w:lang w:eastAsia="ru-RU"/>
        </w:rPr>
        <w:t xml:space="preserve"> </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Несколько вариантов с одинаковой эффективностью в целом рекомендуется для пациентов с ВГС генотипа 1а инфекции, которые не имеют цирроз, в которых до ПЭГ-ИФН и рибавирином лечение не удалось (в алфавитном порядке; см текст).</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daclatasvir (60 мг) плюс софосбувир (400 мг) в течение 12 недель рекомендуется для пациентов с ВГС генотипа 1а инфекции, которые не имеют цирроз, в которых до ПЭГ-ИФН и рибавирином лечение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сочетание фиксированной дозы ledipasvir (90 мг) / софосбувир (400 мг) в течение 12 недель рекомендуется для пациентов с ВГС генотипа 1а инфекции, которые не имеют цирроз, в которых до ПЭГ-ИФН и рибавирином лечение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 xml:space="preserve">Ежедневно сочетание фиксированной дозы paritaprevir (150 мг) / ритонавир (100 мг) / ombitasvir (25 мг), а также два раза в день dasabuvir (250 мг) и веса на основе рибавирина (1000 мг [&lt;75 кг] до 1200 мг </w:t>
      </w:r>
      <w:r w:rsidRPr="000E2181">
        <w:rPr>
          <w:rFonts w:ascii="Times New Roman" w:eastAsia="Times New Roman" w:hAnsi="Times New Roman" w:cs="Times New Roman"/>
          <w:b/>
          <w:bCs/>
          <w:color w:val="3077B8"/>
          <w:sz w:val="29"/>
          <w:szCs w:val="29"/>
          <w:u w:val="single"/>
          <w:lang w:eastAsia="ru-RU"/>
        </w:rPr>
        <w:t>[&gt;</w:t>
      </w:r>
      <w:r w:rsidRPr="000E2181">
        <w:rPr>
          <w:rFonts w:ascii="Times New Roman" w:eastAsia="Times New Roman" w:hAnsi="Times New Roman" w:cs="Times New Roman"/>
          <w:b/>
          <w:bCs/>
          <w:color w:val="3077B8"/>
          <w:sz w:val="29"/>
          <w:szCs w:val="29"/>
          <w:lang w:eastAsia="ru-RU"/>
        </w:rPr>
        <w:t xml:space="preserve"> 75 кг]) в течение 12 недель рекомендуется для пациентов с ВГС генотипа 1а инфекции, которые не имеют цирроз, в которых до ПЭГ-ИФН и рибавирином лечение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simeprevir (150 мг) плюс софосбувир (400 мг) в течение 12 недель рекомендуется для пациентов с ВГС генотипа 1а инфекции, которые не имеют цирроз, в которых до ПЭГ-ИФН и рибавирином лечение не удалось.</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Несколько вариантов с одинаковой эффективностью рекомендуется для пациентов с ВГС генотипа 1b инфекции, которые не имеют цирроз, в которых до ПЭГ-ИФН и рибавирином лечение не удалось (в алфавитном порядке; см текст).</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daclatasvir (60 мг) плюс софосбувир (400 мг) в течение 12 недель рекомендуется для пациентов с ВГС генотипа 1b инфекции, которые не имеют цирроз, в которых до ПЭГ-ИФН и рибавирином лечение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сочетание фиксированной дозы ledipasvir (90 мг) / софосбувир (400 мг) в течение 12 недель рекомендуется для пациентов с ВГС генотипа 1b инфекции, которые не имеют цирроз, в которых до ПЭГ-ИФН и рибавирином лечение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сочетание фиксированной дозы paritaprevir (150 мг) / ритонавир (100 мг) / ombitasvir (25 мг) плюс два раза в день дозированного dasabuvir (250 мг) в течение 12 недель рекомендуется для пациентов с ВГС генотипа 1b инфекции, которые не имеют цирроз в которых до ПЭГ-ИФН и рибавирином лечение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simeprevir (150 мг) плюс софосбувир (400 мг) в течение 12 недель рекомендуется для пациентов с ВГС генотипа 1b инфекции, которые не имеют цирроз, в которых до ПЭГ-ИФН и рибавирином лечение не удалось.</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 xml:space="preserve">Рекомендуемые схемы для больных с генотипом 1а или 1b инфекции, которые </w:t>
      </w:r>
      <w:hyperlink r:id="rId18" w:anchor="ctpclass" w:history="1">
        <w:r w:rsidRPr="000E2181">
          <w:rPr>
            <w:rFonts w:ascii="Times New Roman" w:eastAsia="Times New Roman" w:hAnsi="Times New Roman" w:cs="Times New Roman"/>
            <w:b/>
            <w:bCs/>
            <w:i/>
            <w:iCs/>
            <w:color w:val="0000FF"/>
            <w:sz w:val="26"/>
            <w:szCs w:val="26"/>
            <w:u w:val="single"/>
            <w:lang w:eastAsia="ru-RU"/>
          </w:rPr>
          <w:t xml:space="preserve">компенсированным </w:t>
        </w:r>
      </w:hyperlink>
      <w:r w:rsidRPr="000E2181">
        <w:rPr>
          <w:rFonts w:ascii="Times New Roman" w:eastAsia="Times New Roman" w:hAnsi="Times New Roman" w:cs="Times New Roman"/>
          <w:b/>
          <w:bCs/>
          <w:i/>
          <w:iCs/>
          <w:color w:val="145314"/>
          <w:sz w:val="26"/>
          <w:szCs w:val="26"/>
          <w:lang w:eastAsia="ru-RU"/>
        </w:rPr>
        <w:t>циррозом, в которых до ПЭГ-ИФН и рибавирином лечение не удалось.</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 xml:space="preserve">Ежедневно daclatasvir (60 мг) плюс софосбувир (400 мг) в течение 24 недель с или без веса на основе рибавирина рекомендуется для пациентов с генотипом 1а или 1b инфекции, которые гр </w:t>
      </w:r>
      <w:hyperlink r:id="rId19" w:anchor="ctpclass" w:history="1">
        <w:r w:rsidRPr="000E2181">
          <w:rPr>
            <w:rFonts w:ascii="Times New Roman" w:eastAsia="Times New Roman" w:hAnsi="Times New Roman" w:cs="Times New Roman"/>
            <w:b/>
            <w:bCs/>
            <w:color w:val="0000FF"/>
            <w:sz w:val="29"/>
            <w:szCs w:val="29"/>
            <w:u w:val="single"/>
            <w:lang w:eastAsia="ru-RU"/>
          </w:rPr>
          <w:t xml:space="preserve">ompensated </w:t>
        </w:r>
      </w:hyperlink>
      <w:r w:rsidRPr="000E2181">
        <w:rPr>
          <w:rFonts w:ascii="Times New Roman" w:eastAsia="Times New Roman" w:hAnsi="Times New Roman" w:cs="Times New Roman"/>
          <w:b/>
          <w:bCs/>
          <w:color w:val="3077B8"/>
          <w:sz w:val="29"/>
          <w:szCs w:val="29"/>
          <w:lang w:eastAsia="ru-RU"/>
        </w:rPr>
        <w:t>цирроз, в которых до ПЭГ-ИФН и рибавирином лечение не удалось ,</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 xml:space="preserve">Ежедневно сочетание фиксированной дозы ledipasvir (90 мг) / софосбувир (400 мг) в течение 24 недель рекомендуется для пациентов с генотипом 1а или 1b инфекции, которые </w:t>
      </w:r>
      <w:hyperlink r:id="rId20" w:anchor="ctpclass" w:history="1">
        <w:r w:rsidRPr="000E2181">
          <w:rPr>
            <w:rFonts w:ascii="Times New Roman" w:eastAsia="Times New Roman" w:hAnsi="Times New Roman" w:cs="Times New Roman"/>
            <w:b/>
            <w:bCs/>
            <w:color w:val="0000FF"/>
            <w:sz w:val="29"/>
            <w:szCs w:val="29"/>
            <w:u w:val="single"/>
            <w:lang w:eastAsia="ru-RU"/>
          </w:rPr>
          <w:t xml:space="preserve">компенсированным </w:t>
        </w:r>
      </w:hyperlink>
      <w:r w:rsidRPr="000E2181">
        <w:rPr>
          <w:rFonts w:ascii="Times New Roman" w:eastAsia="Times New Roman" w:hAnsi="Times New Roman" w:cs="Times New Roman"/>
          <w:b/>
          <w:bCs/>
          <w:color w:val="3077B8"/>
          <w:sz w:val="29"/>
          <w:szCs w:val="29"/>
          <w:lang w:eastAsia="ru-RU"/>
        </w:rPr>
        <w:t>циррозом, в которых до ПЭГ-ИФН и рибавирином лечение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 xml:space="preserve">Ежедневно сочетание фиксированной дозы ledipasvir (90 мг) / софосбувир (400 мг) плюс основе веса рибавирина в течение 12 недель рекомендуется для пациентов с генотипом 1а или 1b инфекции, которые </w:t>
      </w:r>
      <w:hyperlink r:id="rId21" w:anchor="ctpclass" w:history="1">
        <w:r w:rsidRPr="000E2181">
          <w:rPr>
            <w:rFonts w:ascii="Times New Roman" w:eastAsia="Times New Roman" w:hAnsi="Times New Roman" w:cs="Times New Roman"/>
            <w:b/>
            <w:bCs/>
            <w:color w:val="0000FF"/>
            <w:sz w:val="29"/>
            <w:szCs w:val="29"/>
            <w:u w:val="single"/>
            <w:lang w:eastAsia="ru-RU"/>
          </w:rPr>
          <w:t xml:space="preserve">компенсированным </w:t>
        </w:r>
      </w:hyperlink>
      <w:r w:rsidRPr="000E2181">
        <w:rPr>
          <w:rFonts w:ascii="Times New Roman" w:eastAsia="Times New Roman" w:hAnsi="Times New Roman" w:cs="Times New Roman"/>
          <w:b/>
          <w:bCs/>
          <w:color w:val="3077B8"/>
          <w:sz w:val="29"/>
          <w:szCs w:val="29"/>
          <w:lang w:eastAsia="ru-RU"/>
        </w:rPr>
        <w:t>циррозом, в которых до ПЭГ-ИФН и рибавирином лечения провалился.</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В</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 xml:space="preserve">Ежедневно сочетание фиксированной дозы paritaprevir (150 мг) / ритонавир (100 мг) / ombitasvir (25 мг) плюс два раза в день дозированного dasabuvir (250 мг) и веса на основе рибавирина в течение 24 недель рекомендуется для пациентов с генотипом HCV 1а инфекции и в течение 12 недель без рибавирина для пациентов с ВГС генотипа 1b инфекции, которые </w:t>
      </w:r>
      <w:hyperlink r:id="rId22" w:anchor="ctpclass" w:history="1">
        <w:r w:rsidRPr="000E2181">
          <w:rPr>
            <w:rFonts w:ascii="Times New Roman" w:eastAsia="Times New Roman" w:hAnsi="Times New Roman" w:cs="Times New Roman"/>
            <w:b/>
            <w:bCs/>
            <w:color w:val="0000FF"/>
            <w:sz w:val="29"/>
            <w:szCs w:val="29"/>
            <w:u w:val="single"/>
            <w:lang w:eastAsia="ru-RU"/>
          </w:rPr>
          <w:t xml:space="preserve">компенсированным </w:t>
        </w:r>
      </w:hyperlink>
      <w:r w:rsidRPr="000E2181">
        <w:rPr>
          <w:rFonts w:ascii="Times New Roman" w:eastAsia="Times New Roman" w:hAnsi="Times New Roman" w:cs="Times New Roman"/>
          <w:b/>
          <w:bCs/>
          <w:color w:val="3077B8"/>
          <w:sz w:val="29"/>
          <w:szCs w:val="29"/>
          <w:lang w:eastAsia="ru-RU"/>
        </w:rPr>
        <w:t>циррозом, в которых до ПЭГ-ИФН и рибавирином лечение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bookmarkStart w:id="2" w:name="gt1-cirrhosis"/>
      <w:bookmarkEnd w:id="2"/>
      <w:r w:rsidRPr="000E2181">
        <w:rPr>
          <w:rFonts w:ascii="Times New Roman" w:eastAsia="Times New Roman" w:hAnsi="Times New Roman" w:cs="Times New Roman"/>
          <w:b/>
          <w:bCs/>
          <w:color w:val="3077B8"/>
          <w:sz w:val="29"/>
          <w:szCs w:val="29"/>
          <w:lang w:eastAsia="ru-RU"/>
        </w:rPr>
        <w:t xml:space="preserve">Ежедневно simeprevir (150 мг) плюс софосбувир (400 мг) с или без веса на основе рибавирина в течение 24 недель рекомендуется для пациентов с ВГС генотипа 1а инфекции, которые отрицательны для Q80K варианте коммерчески доступных сопротивления анализов и для пациентов с генотипом 1b инфекции, в которых до ПЭГ-ИФН и рибавирином лечение не удалось. Альтернативные схемы должны использоваться для пациентов с </w:t>
      </w:r>
      <w:hyperlink r:id="rId23" w:anchor="ctpclass" w:history="1">
        <w:r w:rsidRPr="000E2181">
          <w:rPr>
            <w:rFonts w:ascii="Times New Roman" w:eastAsia="Times New Roman" w:hAnsi="Times New Roman" w:cs="Times New Roman"/>
            <w:b/>
            <w:bCs/>
            <w:color w:val="0000FF"/>
            <w:sz w:val="29"/>
            <w:szCs w:val="29"/>
            <w:u w:val="single"/>
            <w:lang w:eastAsia="ru-RU"/>
          </w:rPr>
          <w:t>компенсированным циррозом</w:t>
        </w:r>
      </w:hyperlink>
      <w:r w:rsidRPr="000E2181">
        <w:rPr>
          <w:rFonts w:ascii="Times New Roman" w:eastAsia="Times New Roman" w:hAnsi="Times New Roman" w:cs="Times New Roman"/>
          <w:b/>
          <w:bCs/>
          <w:color w:val="3077B8"/>
          <w:sz w:val="29"/>
          <w:szCs w:val="29"/>
          <w:lang w:eastAsia="ru-RU"/>
        </w:rPr>
        <w:t xml:space="preserve"> и генотипом 1а инфекции у которых Q80K вариант присутствует.</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Сочетание daclatasvir и софосбувир был изучен в генотип ВГС 1 опыт лечения больных, которые ранее лечились ПЭГ-ИФН и рибавирина в 2 наблюдательных программ раннего доступа в Великобритании и Франции. (Фостер, 2015); (Pol, 2015); (Фостер, 2015b) Во французской когорте пациентов лечили daclatasvir и софосбувир с или без рибавирина в течение 12 недель или 24 недель. У пациентов, получавших с daclatasvir и только софосбувир, численно выше скорость устойчивого вирусологического ответа в течение 4 недель (SVR4) была замечена в пациентов, получавших в течение 24 недель (12 недель, 15/18 или [82,6%] против 24 недели, 75/78 или [96,1%]). У пациентов, получавших daclatasvir, софосбувир и рибавирином были высокие цены реагирования в 12 недели и группы лечения 24-неделю (100% и 97,1%, соответственно), но только 4 пациентов лечили в течение 12 недель. В когорте Великобритания, 235 ВГС генотипа 1-инфицированных пациентов с декомпенсированным циррозом печени (у 45% предыдущих неудач лечения гепатита ИФН основе) обрабатывали 12 недель софосбувир плюс ledipasvir или daclatasvir с или без рибавирина в рамках сострадательной программе доступа , Отбор daclatasvir или ledipasvir и использование рибавирином по усмотрению лечащего врача; Большинство пациентов (94,4%) имели рибавирина в их схемы. Среди пациентов, получавших софосбувир и рибавирином в течение 12 недель, частота УВО составила 86% для тех, кто получил ledipasvir (п = 164) и 82% для тех, кто получил daclatasvir (п = 82). На основании этих ограниченных данных, следует рассмотреть в дополнение рибавирина при лечении более трудным к лечения пациентов, например, с циррозом печени.</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Ledipasvir / софосбувир была оценена в пациентах с циррозом и без которых в предшествующее лечение ПЕГ-ИФН и рибавирина, с или без ингибиторов протеазы ВГС (Telaprevir или Boceprevir), не удалось. В исследовании ИОН-2, пациенты, которые не ответили на предварительного ПЭГ-ИФН и рибавирина лечили ledipasvir / софосбувир. Этот режим был дан в течение 12 недель или 24 недели, с или без рибавирина. В популяции без цирроза, общий уровень ответ был 98% (95% доверительный интервал [ДИ], 96% -99%). В частности, у пациентов без цирроза, которые не реагируют на ПЭГ-ИФН и рибавирином, 33 из 35 (94%) достигли УВО после лечения только ledipasvir / софосбувир, и 38 38 (100%) пациентов достигнут УВО после лечения с ledipasvir / софосбувир и рибавирина. (Afdhal, 2014b) Этот режим хорошо переносится во всех группах, без серьезных неблагоприятных событий в 12-недельного режима с или без рибавирина. В популяции с циррозом, у пациентов, получавших в течение 24 недель была выше, чем УВО у пациентов, получавших в течение 12 недель, поддерживая рекомендацию, что ВГС лечение опытные пациенты с циррозом получать 24 недель лечения рибавирином без.</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В SIRIUS, двойного слепого плацебо-контролируемого французском исследовании, пациенты с циррозом печени, не реагируют на ПЭГ-ИФН и рибавирином плюс телапревира или боцепревир, были рандомизированы для получения плацебо в течение 12 недель с последующим ledipasvir / софосбувир и рибавирином в течение 12 недель или ledipasvir / софосбувир плюс плацебо в течение 24 недель. Частота УВО была похожа в каждой группе, 74 77 (96%) в группе, получавшей ledipasvir / софосбувир и рибавирином в течение 12 недель (3 больных с рецидивом) и 75 из 77 (97%) в группе, получавшей ledipasvir / софосбувир в течение 24 недель (2 больных с рецидивом). Это наблюдение было также поддержано мета-анализа лечебно-наивных и -experienced пациентов с циррозом печени, которые обращаются с ledipasvir / софосбувир в фазе II и III исследований (в том числе исследования SIRIUS). В этом анализе, ledipasvir / софосбувир в течение 12 недель уступал ledipasvir / софосбувир на 24 недель и ledipasvir / софосбувир и рибавирином в течение 12 недель; никакой разницы в СВР не было обнаружено между последними 2 группы. Безопасность и переносимость были одинаковыми в каждой группе, и, за исключением анемии, побочными эффектами не существенно отличаются между пациентами с или без рибавирина. (Bourliere, 2014A); (Bourliere, 2014b)</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xml:space="preserve">Ежедневный сочетание фиксированной дозы paritaprevir (150 мг), ритонавир (100 мг), и ombitasvir (25 мг) плюс два раза в день дозированного dasabuvir (250 мг) (Prod) и на основе веса рибавирина (1000 мг [&lt;75 кг ] до 1200 мг </w:t>
      </w:r>
      <w:r w:rsidRPr="000E2181">
        <w:rPr>
          <w:rFonts w:ascii="Times New Roman" w:eastAsia="Times New Roman" w:hAnsi="Times New Roman" w:cs="Times New Roman"/>
          <w:sz w:val="24"/>
          <w:szCs w:val="24"/>
          <w:u w:val="single"/>
          <w:lang w:eastAsia="ru-RU"/>
        </w:rPr>
        <w:t>[&gt;</w:t>
      </w:r>
      <w:r w:rsidRPr="000E2181">
        <w:rPr>
          <w:rFonts w:ascii="Times New Roman" w:eastAsia="Times New Roman" w:hAnsi="Times New Roman" w:cs="Times New Roman"/>
          <w:sz w:val="24"/>
          <w:szCs w:val="24"/>
          <w:lang w:eastAsia="ru-RU"/>
        </w:rPr>
        <w:t xml:space="preserve"> 75 мг]) была исследована для лечения пациентов с ВГС генотипа 1 инфекции, в которых предыдущая ПЭГ-ИФН и рибавирином терапии не удалось. (Zeuzem 2014) В этом исследовании фазы III, пациенты, которые не имеют цирроз, которые лечились в общей сложности 12 недель имели высокую общую скорость реакции с 286 297 (96,3%) пациентов, достигших SVR12. Частота ответа существенно не различаются при стратификации по генотипу подтипа (генотип 1а, 96,0% [166/173]; генотипа 1b, 96,7% [119/123]) или кинетики предварительного ответ на ПЭГ-ИФН и рибавирином (рецидива, 95,3% [82/86]; частичный ответ, 100% [139/146]; нулевой ответ, 95,2% [139/146]). В исследовании ЖЕМЧУЖИНА-II, 179 больных без цирроза и генотипа 1b HCV-инфекции, у которых предыдущая терапия ПЭГ-ИФН и рибавирина не удалось, лечили Prod с или без веса на основе рибавирина в течение 12 недель. (Andreone, 2014) УВО были высокими в обеих группах: 100% (91/91) в рибавирин-свободной рукой и 96,6% (85/88) в рибавирин, содержащей руку, поддерживая рекомендацию, что этот режим может быть использован без рибавирина для пациентов с генотипом HCV 1b инфекции.</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В исследовании БИРЮЗА-II, у пациентов с циррозом печени класса CTP лечили Prod и рибавирином в течение 12 недель или 24 недель. (Poordad 2014) Из 380 пациентов, включенных в это исследование, 220 ранее получали ПЭГ-ИФН и рибавирина терапии, не удалось. Среди пациентов лечебно-опытных, SVR12 была достигнута в 90,2% (110/122) пациентов в 12-недельного руку и 96,9% (95/98) пациентов в 24-недельного руку. В многомерном логистического регрессионного анализа, как до ответа на нуль пэгинтерферона и рибавирина терапии и генотип 1а подтип были связаны с более низкой вероятности УВО у пациентов, получавших 12 недель терапии. Поэтому пациенты с генотипом 1а инфекции следует лечить в течение 24 недель. Гемоглобин снижение до менее чем 10 г / дл произошло в 7,2% от 12-недельного руку и 11,0% от 24-недельного руку; Однако, прекращение лечения за неблагоприятных событий было редко в целом (2,1%). Для удовлетворения потребности в рибавирином с этой схемой у пациентов с генотипом 1b и цирроза, исследование БИРЮЗА-III оценить безопасность и эффективность Prod без рибавирина в течение 12 недель у пациентов с инфекцией ВГС генотипа 1b и компенсированным циррозом. Были зачислены Шестьдесят пациентов (62% мужчин, 55% лечение опытные, 83% с IL28B без CC генотипа, 22% с количеством тромбоцитов &lt;90 х 109 / л, и 17% с уровня альбумина &lt;3,5 г / дл). Все пациенты завершили лечение, и все пациенты достигли SVR12. На основании этого исследования, лечения больных с генотипом 1b с Prod, но без рибавирина рекомендуется, независимо от предшествующего опыта лечения или наличии цирроза. (Фельд, 2015)</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Для удовлетворения потребности в рибавирином с этой схемой у пациентов с генотипом 1b и цирроза, исследование БИРЮЗА-III оценить безопасность и эффективность Prod без рибавирина в течение 12 недель у пациентов с инфекцией ВГС генотипа 1b и компенсированным циррозом. Были зачислены Шестьдесят пациентов (62% мужчин, 55% лечение опытные, 83% с IL28B без CC генотипа, 22% с количеством тромбоцитов &lt;90 х 109 / л, и 17% с уровня альбумина &lt;3,5 г / дл). Все пациенты завершили лечение, и все пациенты достигли SVR12. На основании этого исследования, лечения больных с генотипом 1b с Prod, но без рибавирина рекомендуется, независимо от предшествующего опыта лечения или наличии цирроза. (Фельд, 2015)</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bookmarkStart w:id="3" w:name="gt1-cirrhosis-txt2"/>
      <w:bookmarkEnd w:id="3"/>
      <w:r w:rsidRPr="000E2181">
        <w:rPr>
          <w:rFonts w:ascii="Times New Roman" w:eastAsia="Times New Roman" w:hAnsi="Times New Roman" w:cs="Times New Roman"/>
          <w:sz w:val="24"/>
          <w:szCs w:val="24"/>
          <w:lang w:eastAsia="ru-RU"/>
        </w:rPr>
        <w:t>В IIa фазы COSMOS исследования, участники получили simeprevir (150 мг один раз в день) плюс софосбувир (400 мг один раз в день) с или без веса на основе рибавирина в течение 12 недель или 24 недель. (Lawitz, 2014b) Оптимист-1 и -2 исследования впоследствии оценили сочетание софосбувир плюс simeprevir в течение 12 недель у пациентов с ВГС генотипа 1 инфекции, которые были ВГС лечение наивный и -experienced. (Lawitz, 2015); (Kwo, 2015) В оптимист-1, у пациентов с ВГС генотипа 1 инфекции и без признаков цирроза печени были рандомизированы в 8 недель или 12 недель лечения. В целом, 8 недель (СВР 83%) был менее эффективен, чем 12 недель (СВР 97%) лечения. Среди пациентов, получавших в течение 12 недель, частота УВО в лечебно-опытных больных ПЭГ-ИФН и рибавирином была 95% (38 из 40) и частота УВО у пациентов с генотипом 1а инфекции с Q80K полиморфизма (96%; 44 из 46) был таким же, наблюдается у пациентов без Q80K варианте (97%; 69 из 70). В противоположность этому, в исследовании ОПТИМИСТ-2, 79% (42 из 53) из опыт лечения пациентов с HCV генотипа 1 инфекции и цирроза, которых лечили 12 недель simeprevir и софосбувир достигнут УВО. В целом, в этой популяции пациентов с циррозом печени, частота УВО была ниже у пациентов с генотипом 1а с Q80K варианте (74%; 25 из 34), чем у пациентов с генотипом 1а без Q80K варианта (92%, 35 38). Взятые вместе, эти исследования подтверждают оценку опыт лечения пациентов с циррозом и генотипом 1а для присутствия Q80K полиморфизма. Если Q80K полиморфизм обнаружен, альтернативные схемы лечения должны быть использованы. (Янссен терапии 2013); (Lawitz, 2014b)</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Рекомендуемые схемы для пациентов, у которых предыдущая софосбувир плюс рибавирин с или без лечения ПЭГ-ИФН не удалось.</w:t>
      </w:r>
    </w:p>
    <w:p w:rsidR="000E2181" w:rsidRPr="000E2181" w:rsidRDefault="000E2181" w:rsidP="000E2181">
      <w:pPr>
        <w:shd w:val="clear" w:color="auto" w:fill="FFFAF6"/>
        <w:spacing w:after="120" w:line="240" w:lineRule="auto"/>
        <w:rPr>
          <w:rFonts w:ascii="Times New Roman" w:eastAsia="Times New Roman" w:hAnsi="Times New Roman" w:cs="Times New Roman"/>
          <w:sz w:val="26"/>
          <w:szCs w:val="26"/>
          <w:lang w:eastAsia="ru-RU"/>
        </w:rPr>
      </w:pPr>
      <w:r w:rsidRPr="000E2181">
        <w:rPr>
          <w:rFonts w:ascii="Times New Roman" w:eastAsia="Times New Roman" w:hAnsi="Times New Roman" w:cs="Times New Roman"/>
          <w:b/>
          <w:bCs/>
          <w:sz w:val="26"/>
          <w:szCs w:val="26"/>
          <w:lang w:eastAsia="ru-RU"/>
        </w:rPr>
        <w:t>Нет Цирроз</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сочетание фиксированной дозы ledipavir (90 мг) / софосбувир (400 мг) с весом на основе рибавирина в течение 12 недель рекомендуется для пациентов без цирроза, в которых предыдущая софосбувир плюс рибавирин-содержащих препаратов с или без ПЭГ-ИФН удалось ,</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IIb, уровень С</w:t>
      </w:r>
    </w:p>
    <w:p w:rsidR="000E2181" w:rsidRPr="000E2181" w:rsidRDefault="000E2181" w:rsidP="000E2181">
      <w:pPr>
        <w:shd w:val="clear" w:color="auto" w:fill="FFFAF6"/>
        <w:spacing w:after="120" w:line="240" w:lineRule="auto"/>
        <w:rPr>
          <w:rFonts w:ascii="Times New Roman" w:eastAsia="Times New Roman" w:hAnsi="Times New Roman" w:cs="Times New Roman"/>
          <w:sz w:val="26"/>
          <w:szCs w:val="26"/>
          <w:lang w:eastAsia="ru-RU"/>
        </w:rPr>
      </w:pPr>
      <w:r w:rsidRPr="000E2181">
        <w:rPr>
          <w:rFonts w:ascii="Times New Roman" w:eastAsia="Times New Roman" w:hAnsi="Times New Roman" w:cs="Times New Roman"/>
          <w:b/>
          <w:bCs/>
          <w:sz w:val="26"/>
          <w:szCs w:val="26"/>
          <w:lang w:eastAsia="ru-RU"/>
        </w:rPr>
        <w:t>Цирроз</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сочетание фиксированной дозы ledipasvir (90 мг) / софосбувир (400 мг) с весом на основе рибавирина в течение 24 недель рекомендуется для пациентов с циррозом печени, у которых предыдущая софосбувир-содержащих препаратов не удалось.</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С</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bookmarkStart w:id="4" w:name="gt1-ns5a-txt"/>
      <w:bookmarkEnd w:id="4"/>
      <w:r w:rsidRPr="000E2181">
        <w:rPr>
          <w:rFonts w:ascii="Times New Roman" w:eastAsia="Times New Roman" w:hAnsi="Times New Roman" w:cs="Times New Roman"/>
          <w:sz w:val="24"/>
          <w:szCs w:val="24"/>
          <w:lang w:eastAsia="ru-RU"/>
        </w:rPr>
        <w:t>На сегодняшний день, клинический опыт и данные испытаний на повторное лечение таких больных очень ограничены. Тем не менее, было сообщено после повторного отказа лечения софосбувир содержащих с второго курса лечения с использованием софосбувир плюс новые агенты, или повторное лечение с аналогичным софосбувир основе режима.</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Повторное с ledipasvir / софосбувир в субъектах с ВГС генотипа 1 инфекции, с или без цирроза, в кого софосбувир-содержащих препаратов не удалось была оценена в 2 небольших пилотных исследований с использованием ledipasvir / софосбувир в течение 12 недель. С предыдущими неудачами 24 недель софосбувир и рибавирином, отмечались, когда пациенты были отступил с ledipasvir / софосбувир в течение 12 недель высокие УВО. (Osinusi, 2014A) Ledipasvir / софосбувир плюс рибавирин также были оценены по предметам в которых предшествующее лечение софосбувир плюс ПЭГ-ИФН и рибавирина или софосбувир и рибавирином не удалось. В этом исследовании 51 пациентов, повторного ledipasvir с / софосбувир и рибавирином в течение 12 недель привело к SVR12 в 100% из 50 пациентов с генотипом 1 инфекции; 1 отказ вирусологический наблюдается у больного определяется иметь генотип ВГС инфекции 3 до повторного. (Wyles, 2015b) Есть чрезвычайно ограниченные данные о повторной таких больных с циррозом печени. Тем не менее, вторичный анализ 352 ранее леченных пациентов с циррозом печени (240 из которых были ингибиторов на основе неудачи лечения до протеазы), которые были отступили с 12 недель или 24 недель ledipasvir / софосбувир с или без рибавирина обнаружили, что SVR12 был достигнут в 95 % до 98%. (Редди, 2015) Таким образом, для ранее обработанных генотипом 1-инфицированных пациентов с компенсированным циррозом, повторного с 24 недель ledipasvir / софосбувир плюс рибавирин рекомендуется.</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 xml:space="preserve">Рекомендуемая схема для пациентов без цирроза, у которых ВГС генотипа 1 инфекции, независимо от подтипа, в которых до лечения с ВГС неструктурный белка 3 (NS3) ингибитора протеазы (телапревир, боцепревир или simeprevir) плюс ПЭГ-ИФН и рибавирином или simeprevir плюс софосбувир не не удалось (не до лечения NS5A). </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daclatasvir (60 мг) плюс софосбувир (400 мг) в течение 12 недель рекомендуется для пациентов с генотипом 1 HCV-инфекции, независимо от подтипа, которые не имеют цирроз, в которых предшествующее лечение протеазы ВГС ингибитора плюс ПЭГ-ИФН, и рибавирин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сочетание фиксированной дозы ledipasvir (90 мг) / софосбувир (400 мг) в течение 12 недель рекомендуется для повторного пациентов с генотипом 1 HCV-инфекции, независимо от подтипа, которые не имеют цирроз, в которых предшествующее лечение протеазы ВГС ингибитора плюс ПЭГ-ИФН и рибавирином не удалось. Основываясь на ограниченных данных, добавление веса на основе рибавирина в ledipasvir / софосбувир рекомендуется для пациентов без цирроза, в которых предшествующее лечение протеазы ВГС ингибитора simeprevir плюс софосбувир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Три схемы с одинаковой эффективностью рекомендуется для пациентов с циррозом печени, которые имеют HCV генотипа 1 инфекции, независимо от подтипа, в которых до лечения с ВГС неструктурный белка 3 (NS3) ингибитора протеазы (телапревира, боцепревир или simeprevir) плюс ПЭГ-ИФН и рибавирин или simeprevir плюс софосбувир не не удалось (не до лечения NS5A).</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 xml:space="preserve">Ежедневно daclatasvir (60 мг) плюс софосбувир (400 мг) в течение 24 недель с или без веса на основе рибавирина рекомендуется для пациентов с генотипом 1а или 1b инфекции с </w:t>
      </w:r>
      <w:hyperlink r:id="rId24" w:anchor="ctpclass" w:history="1">
        <w:r w:rsidRPr="000E2181">
          <w:rPr>
            <w:rFonts w:ascii="Times New Roman" w:eastAsia="Times New Roman" w:hAnsi="Times New Roman" w:cs="Times New Roman"/>
            <w:b/>
            <w:bCs/>
            <w:color w:val="0000FF"/>
            <w:sz w:val="29"/>
            <w:szCs w:val="29"/>
            <w:u w:val="single"/>
            <w:lang w:eastAsia="ru-RU"/>
          </w:rPr>
          <w:t>компенсированным циррозом,</w:t>
        </w:r>
      </w:hyperlink>
      <w:r w:rsidRPr="000E2181">
        <w:rPr>
          <w:rFonts w:ascii="Times New Roman" w:eastAsia="Times New Roman" w:hAnsi="Times New Roman" w:cs="Times New Roman"/>
          <w:b/>
          <w:bCs/>
          <w:color w:val="3077B8"/>
          <w:sz w:val="29"/>
          <w:szCs w:val="29"/>
          <w:lang w:eastAsia="ru-RU"/>
        </w:rPr>
        <w:t xml:space="preserve"> в которых предшествующее лечение протеазы ВГС ингибитора плюс ПЭГ-ИФН и рибавирином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сочетание фиксированных доз ledipasvir (90 мг) / софосбувир (400 мг) в течение 24 недель рекомендуется для повторного пациентов с циррозом, у которых HCV генотипа 1 инфекции, независимо от подтипа, в которых предшествующее лечение протеазы ВГС ингибитора плюс ПЭГ -IFN и рибавирином не удалось. Основываясь на ограниченных данных, добавление веса на основе рибавирина в ledipasvir / софосбувир рекомендуется для пациентов с циррозом печени, у которых предшествующее лечение протеазы ВГС ингибитора simeprevir плюс софосбувир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сочетание фиксированной дозы ledipasvir (90 мг) / софосбувир (400 мг) плюс масса на основе рибавирина в течение 12 недель рекомендуется для пациентов с циррозом печени, которые имеют HCV генотипа 1 инфекции, независимо от подтипа, в которых предшествующее лечение ВГС протеазы ингибитор плюс ПЭГ-ИФН и рибавирином не удалось. Пациенты с циррозом печени, которые имеют генотип 1 HCV-инфекции, в которых предшествующее лечение протеазы ВГС ингибитора simeprevir плюс софосбувир не удалось, не должны рассматриваться с этой 12-недельного режима.</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Сочетание daclatasvir и софосбувир был изучен в 41 пациентов без цирроза в которых предыдущая терапия ПЕГ-ИНФ, рибавирином и протеазы ВГС ингибитора не удалось. Из этих пациентов, 21 были обработаны daclatasvir и софосбувир в течение 24 недель и 20 были обработаны daclatasvir и софосбувир и рибавирином в течение 24 недель. Обе группы имели высокие скорости вулканизации, и дополнительных преимуществ не было замечено при включении рибавирина (98% общей SVR12). (Сулковский, 2014b) Хотя данные ограничены, добавление рибавирина могут быть рассмотрены в трудных для лечения ситуациях, например, у пациентов с циррозом печени. (Поль, 2015)</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Безопасность и эффективность ledipasvir / софосбувир оценивали по предметам в которых предшествующее лечение протеазы ВГС ингибитора (Telaprevir или Boceprevir) плюс ПЭГ-ИФН и рибавирина не удалось. (Afdhal, 2014b) ставки SVR12 с 12- и 24-недельных режимов были высокими в течение обоих лечения продолжительностью (94% и 98%, соответственно). Частота рецидивов в суде повторного лечения ИОН-2 численно выше в 12-недельных оружия, чем в 24-недельных оружия. Наличие предварительной обработки цирроза или неструктурный 5A белка (NS5A), связанные с резистентностью вариантов (РАВ) были основными причинами высокой частоты рецидивов в 12-недельного руку. Таким образом, пациенты с циррозом печени, у которых предшествующее режим ПЭГ-ИФН, рибавирином и ингибитор протеазы ВГС не удалось должен получить 24 недель ledipasvir / софосбувир, и пациенты без цирроза должны получить 12 недель ledipasvir / софосбувир. Исходя из данных исследования SIRIUS, пациенты с циррозом печени, у которых предшествующее ингибитор протеазы, содержащих режим не удалось также может принимать ledipasvir / софосбувир плюс вес основе рибавирина в течение 12 недель.</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Новые данные позволяют предположить, что примерно 10% до 15% пациентов с ВГС генотипа 1 инфекции лечение в течение 12 недель с simeprevir плюс софосбувир будет испытывать неудачи лечения, обычно из-за вирусной рецидива после прекращения терапии. Появляется сбой Лечение чаще встречается у лиц, инфицированных ВГС генотипа 1a и тех, с циррозом печени. Данные исследования показывают, что COSMOS неудача лечения после режима в simeprevir плюс софосбувир связано с устойчивостью к simeprevir и перекрестной резистентности к другим ВГС NS3 и NS4A ингибиторов протеазы, такие как paritaprevir, телапревира и боцепревир. С другой стороны, софосбувир RAVs не наблюдалось в исследовании космоса и, скорее всего, редко в клинической практике. </w:t>
      </w:r>
    </w:p>
    <w:p w:rsidR="000E2181" w:rsidRPr="000E2181" w:rsidRDefault="000E2181" w:rsidP="000E2181">
      <w:pPr>
        <w:shd w:val="clear" w:color="auto" w:fill="F4E5E5"/>
        <w:spacing w:after="120" w:line="240" w:lineRule="auto"/>
        <w:rPr>
          <w:rFonts w:ascii="Times New Roman" w:eastAsia="Times New Roman" w:hAnsi="Times New Roman" w:cs="Times New Roman"/>
          <w:color w:val="000000"/>
          <w:sz w:val="26"/>
          <w:szCs w:val="26"/>
          <w:lang w:eastAsia="ru-RU"/>
        </w:rPr>
      </w:pPr>
      <w:r w:rsidRPr="000E2181">
        <w:rPr>
          <w:rFonts w:ascii="Times New Roman" w:eastAsia="Times New Roman" w:hAnsi="Times New Roman" w:cs="Times New Roman"/>
          <w:b/>
          <w:bCs/>
          <w:i/>
          <w:iCs/>
          <w:color w:val="000000"/>
          <w:sz w:val="26"/>
          <w:szCs w:val="26"/>
          <w:lang w:eastAsia="ru-RU"/>
        </w:rPr>
        <w:t>Следующие схемы НЕ рекомендуется для пациентов с ВГС генотипа 1 инфекции, в которых до лечения, включали протеазы ВГС ингибитора не удалось.</w:t>
      </w:r>
    </w:p>
    <w:p w:rsidR="000E2181" w:rsidRPr="000E2181" w:rsidRDefault="000E2181" w:rsidP="000E2181">
      <w:pPr>
        <w:numPr>
          <w:ilvl w:val="0"/>
          <w:numId w:val="1"/>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Любой режим, содержащий PEG-IFN, в том числе</w:t>
      </w:r>
    </w:p>
    <w:p w:rsidR="000E2181" w:rsidRPr="000E2181" w:rsidRDefault="000E2181" w:rsidP="000E2181">
      <w:pPr>
        <w:numPr>
          <w:ilvl w:val="1"/>
          <w:numId w:val="1"/>
        </w:numPr>
        <w:shd w:val="clear" w:color="auto" w:fill="F4E5E5"/>
        <w:spacing w:after="120" w:line="240" w:lineRule="auto"/>
        <w:ind w:left="720" w:right="24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Simeprevir, ПЭГ-ИФН и рибавирином</w:t>
      </w:r>
    </w:p>
    <w:p w:rsidR="000E2181" w:rsidRPr="000E2181" w:rsidRDefault="000E2181" w:rsidP="000E2181">
      <w:pPr>
        <w:numPr>
          <w:ilvl w:val="1"/>
          <w:numId w:val="1"/>
        </w:numPr>
        <w:shd w:val="clear" w:color="auto" w:fill="F4E5E5"/>
        <w:spacing w:after="120" w:line="240" w:lineRule="auto"/>
        <w:ind w:left="720" w:right="24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Софосбувир, ПЭГ-ИФН и рибавирином</w:t>
      </w:r>
    </w:p>
    <w:p w:rsidR="000E2181" w:rsidRPr="000E2181" w:rsidRDefault="000E2181" w:rsidP="000E2181">
      <w:pPr>
        <w:numPr>
          <w:ilvl w:val="1"/>
          <w:numId w:val="1"/>
        </w:numPr>
        <w:shd w:val="clear" w:color="auto" w:fill="F4E5E5"/>
        <w:spacing w:after="120" w:line="240" w:lineRule="auto"/>
        <w:ind w:left="720" w:right="24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Телапревир или боцепревир, ПЭГ-ИФН и рибавирином</w:t>
      </w:r>
    </w:p>
    <w:p w:rsidR="000E2181" w:rsidRPr="000E2181" w:rsidRDefault="000E2181" w:rsidP="000E2181">
      <w:pPr>
        <w:numPr>
          <w:ilvl w:val="1"/>
          <w:numId w:val="1"/>
        </w:numPr>
        <w:shd w:val="clear" w:color="auto" w:fill="F4E5E5"/>
        <w:spacing w:after="0" w:line="240" w:lineRule="auto"/>
        <w:ind w:left="720" w:right="24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 xml:space="preserve">ПЭГ-ИФН и рибавирином в одиночку </w:t>
      </w:r>
    </w:p>
    <w:p w:rsidR="000E2181" w:rsidRPr="000E2181" w:rsidRDefault="000E2181" w:rsidP="000E218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IIb Уровень А</w:t>
      </w:r>
    </w:p>
    <w:p w:rsidR="000E2181" w:rsidRPr="000E2181" w:rsidRDefault="000E2181" w:rsidP="000E2181">
      <w:pPr>
        <w:numPr>
          <w:ilvl w:val="0"/>
          <w:numId w:val="1"/>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Монотерапия пэгинтерферона, рибавирина или прямого действия противовирусных</w:t>
      </w:r>
    </w:p>
    <w:p w:rsidR="000E2181" w:rsidRPr="000E2181" w:rsidRDefault="000E2181" w:rsidP="000E218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III, уровень А</w:t>
      </w:r>
    </w:p>
    <w:p w:rsidR="000E2181" w:rsidRPr="000E2181" w:rsidRDefault="000E2181" w:rsidP="000E2181">
      <w:pPr>
        <w:numPr>
          <w:ilvl w:val="0"/>
          <w:numId w:val="1"/>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Любое ИФН-Free режим, содержащий протеазы ВГС ингибитора</w:t>
      </w:r>
    </w:p>
    <w:p w:rsidR="000E2181" w:rsidRPr="000E2181" w:rsidRDefault="000E2181" w:rsidP="000E2181">
      <w:pPr>
        <w:numPr>
          <w:ilvl w:val="1"/>
          <w:numId w:val="1"/>
        </w:numPr>
        <w:shd w:val="clear" w:color="auto" w:fill="F4E5E5"/>
        <w:spacing w:after="120" w:line="240" w:lineRule="auto"/>
        <w:ind w:left="720" w:right="24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Simeprevir </w:t>
      </w:r>
    </w:p>
    <w:p w:rsidR="000E2181" w:rsidRPr="000E2181" w:rsidRDefault="000E2181" w:rsidP="000E2181">
      <w:pPr>
        <w:numPr>
          <w:ilvl w:val="1"/>
          <w:numId w:val="1"/>
        </w:numPr>
        <w:shd w:val="clear" w:color="auto" w:fill="F4E5E5"/>
        <w:spacing w:after="120" w:line="240" w:lineRule="auto"/>
        <w:ind w:left="720" w:right="24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Paritaprevir</w:t>
      </w:r>
    </w:p>
    <w:p w:rsidR="000E2181" w:rsidRPr="000E2181" w:rsidRDefault="000E2181" w:rsidP="000E2181">
      <w:pPr>
        <w:shd w:val="clear" w:color="auto" w:fill="F4E5E5"/>
        <w:spacing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IIb, уровень А</w:t>
      </w:r>
    </w:p>
    <w:p w:rsidR="000E2181" w:rsidRPr="000E2181" w:rsidRDefault="000E2181" w:rsidP="000E2181">
      <w:pPr>
        <w:spacing w:after="0"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xml:space="preserve">В фазы IIb ASPIRE суда, simeprevir сочетается с ПЭГ-ИФН и рибавирина для лечения пациентов, у которых предыдущая ПЭГ-ИФН и рибавирином не удалось. (Zeuzem, 2013a); (Янссен терапии 2013); (Www.fda.gov; </w:t>
      </w:r>
      <w:hyperlink r:id="rId25" w:history="1">
        <w:r w:rsidRPr="000E2181">
          <w:rPr>
            <w:rFonts w:ascii="Times New Roman" w:eastAsia="Times New Roman" w:hAnsi="Times New Roman" w:cs="Times New Roman"/>
            <w:color w:val="0000FF"/>
            <w:sz w:val="24"/>
            <w:szCs w:val="24"/>
            <w:u w:val="single"/>
            <w:lang w:eastAsia="ru-RU"/>
          </w:rPr>
          <w:t xml:space="preserve">Вставка </w:t>
        </w:r>
      </w:hyperlink>
      <w:r w:rsidRPr="000E2181">
        <w:rPr>
          <w:rFonts w:ascii="Times New Roman" w:eastAsia="Times New Roman" w:hAnsi="Times New Roman" w:cs="Times New Roman"/>
          <w:sz w:val="24"/>
          <w:szCs w:val="24"/>
          <w:lang w:eastAsia="ru-RU"/>
        </w:rPr>
        <w:t>пакета) Скорость SVR24 после 48 общих недель терапии в simeprevir 150 мг в день рука 65% у пациентов с предыдущим частичный ответ (п = 23) и 53% у пациентов с до нулевой ответ (п = 17). Не на основе сравнительно плохой ответ на лечение, потребность в длительной терапии, и плохой переносимости, это лечение не рекомендуется.</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Софосбувир в сочетании с ПЕГ-ИНФ и рибавирина имеет высокую эффективность в лечении пациентов, наивный, но не был изучен перспективно в популяции лечения опытным. Не на основе ограниченной перспективного данных и плохой переносимости к схемам ПЭГ-ИФН, основанных, это лечение не рекомендуется.</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xml:space="preserve">Тройная терапия с боцепревир плюс ПЭГ-ИФН и рибавирином в течение 48 недель может привести к СВР до 52% пациентов, которые имели частичный ответ на предыдущий ПЭГ-ИФН и рибавирином лечения (ОТВЕТИТЬ 2), </w:t>
      </w:r>
      <w:hyperlink r:id="rId26" w:anchor="bacon2011" w:history="1">
        <w:r w:rsidRPr="000E2181">
          <w:rPr>
            <w:rFonts w:ascii="Times New Roman" w:eastAsia="Times New Roman" w:hAnsi="Times New Roman" w:cs="Times New Roman"/>
            <w:color w:val="0000FF"/>
            <w:sz w:val="24"/>
            <w:szCs w:val="24"/>
            <w:u w:val="single"/>
            <w:lang w:eastAsia="ru-RU"/>
          </w:rPr>
          <w:t>(Бэкон,</w:t>
        </w:r>
      </w:hyperlink>
      <w:r w:rsidRPr="000E2181">
        <w:rPr>
          <w:rFonts w:ascii="Times New Roman" w:eastAsia="Times New Roman" w:hAnsi="Times New Roman" w:cs="Times New Roman"/>
          <w:sz w:val="24"/>
          <w:szCs w:val="24"/>
          <w:lang w:eastAsia="ru-RU"/>
        </w:rPr>
        <w:t xml:space="preserve"> </w:t>
      </w:r>
      <w:hyperlink r:id="rId27" w:anchor="bacon2011" w:history="1">
        <w:r w:rsidRPr="000E2181">
          <w:rPr>
            <w:rFonts w:ascii="Times New Roman" w:eastAsia="Times New Roman" w:hAnsi="Times New Roman" w:cs="Times New Roman"/>
            <w:color w:val="0000FF"/>
            <w:sz w:val="24"/>
            <w:szCs w:val="24"/>
            <w:u w:val="single"/>
            <w:lang w:eastAsia="ru-RU"/>
          </w:rPr>
          <w:t xml:space="preserve">2011) и до 38% пациентов с ответом до нулевой (обеспечивать). </w:t>
        </w:r>
      </w:hyperlink>
      <w:r w:rsidRPr="000E2181">
        <w:rPr>
          <w:rFonts w:ascii="Times New Roman" w:eastAsia="Times New Roman" w:hAnsi="Times New Roman" w:cs="Times New Roman"/>
          <w:sz w:val="24"/>
          <w:szCs w:val="24"/>
          <w:lang w:eastAsia="ru-RU"/>
        </w:rPr>
        <w:t>(Ди Бишеллье 2013) Точно так же, телапревир плюс ПЭГ-ИФН и рибавирином привела к ставке SVR24 из 54% до 59% среди пациентов, которые имели частичный ответ на предыдущее лечение и скорости SVR24 29% до 33% среди тех, кто имел предшествующий ответ нуль (Поймите,). (Zeuzem 2011) Из-за относительно плохой эффективности, не нужно для длительной терапии (48 недель), и плохой переносимости, эти схемы уже не рекомендуется.</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Монотерапия пэгинтерферона, рибавирина или любой из имеющихся Daas неэффективно; Кроме того, DAA монотерапии приводит к быстрому отбора устойчивых вариантов.</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Рекомендуемая схема для пациентов, у которых предыдущее лечение с любым ВГС неструктурный белка 5А ингибиторы (NS5A) не удалось (в том числе daclatasvir плюс софосбувир, ledipasvir / софосбувир, или paritaprevir / ритонавир / ombitasvir плюс dasabuvir).</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 xml:space="preserve">Для пациентов с болезнью печени минимальны, отсрочка лечения рекомендуется при условии наличия данных. </w:t>
      </w:r>
    </w:p>
    <w:p w:rsidR="000E2181" w:rsidRPr="000E2181" w:rsidRDefault="000E2181" w:rsidP="000E2181">
      <w:pPr>
        <w:shd w:val="clear" w:color="auto" w:fill="FFFAF6"/>
        <w:spacing w:after="0"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IIb, уровень С</w:t>
      </w:r>
    </w:p>
    <w:p w:rsidR="000E2181" w:rsidRPr="000E2181" w:rsidRDefault="000E2181" w:rsidP="000E2181">
      <w:pPr>
        <w:shd w:val="clear" w:color="auto" w:fill="FFFAF6"/>
        <w:spacing w:after="0"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color w:val="000000"/>
          <w:sz w:val="24"/>
          <w:szCs w:val="24"/>
          <w:lang w:eastAsia="ru-RU"/>
        </w:rPr>
        <w:t> </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bookmarkStart w:id="5" w:name="gt1-ns5a"/>
      <w:bookmarkEnd w:id="5"/>
      <w:r w:rsidRPr="000E2181">
        <w:rPr>
          <w:rFonts w:ascii="Times New Roman" w:eastAsia="Times New Roman" w:hAnsi="Times New Roman" w:cs="Times New Roman"/>
          <w:b/>
          <w:bCs/>
          <w:color w:val="3077B8"/>
          <w:sz w:val="29"/>
          <w:szCs w:val="29"/>
          <w:lang w:eastAsia="ru-RU"/>
        </w:rPr>
        <w:t>Для пациентов с циррозом печени или других пациентов, которые нуждаются в срочном перелечивание, тестирование на сопротивление ассоциированных вариантов, которые придают снизилась чувствительность к ингибиторам протеазы NS3 и ингибиторы NS5A рекомендуется. Конкретные препараты, используемые в схеме повторного лечения должны быть приспособлены к результатам этого тестирования, как описано ниже. Продолжительность лечения 24 недель рекомендуется и, если противопоказаны, на основе веса рибавирина не должно быть добавлено.</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IIb, уровень С</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bookmarkStart w:id="6" w:name="gt1-cirrhosis-txt"/>
      <w:bookmarkEnd w:id="6"/>
      <w:r w:rsidRPr="000E2181">
        <w:rPr>
          <w:rFonts w:ascii="Times New Roman" w:eastAsia="Times New Roman" w:hAnsi="Times New Roman" w:cs="Times New Roman"/>
          <w:sz w:val="24"/>
          <w:szCs w:val="24"/>
          <w:lang w:eastAsia="ru-RU"/>
        </w:rPr>
        <w:t>Для пациентов с циррозом печени или других пациентов, которые нуждаются в срочном перелечивание, тестирование на RAVs, которые придают снизился восприимчивость к NS3 ингибиторы протеазы (например, Q80K) и ингибиторов NS5A должны быть выполнены с использованием коммерчески доступных анализов до выбора следующего режима лечения ВГС. Для пациентов без ингибиторов NS5A RAVs обнаруженных, повторного ledipasvir с / софосбувир и рибавирином в течение 24 недель рекомендуется. Для пациентов, которые имеют ингибитор NS5A RAVs обнаружены и которые не имеют ингибитор NS3 RAVs обнаружено, лечение simeprevir, софосбувир и рибавирином в течение 24 недель рекомендуется. Для пациентов, которые имеют как NS3 и ингибиторы NS5A RAVs обнаружении повторного должны проводиться в клинических условиях судебного разбирательства, соответствующий режим лечения не может быть рекомендован в это время.</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Нет данных пока отсутствуют на повторное лечение пациентов, для которых предшествующее лечение Prod уже не удалось. Тем не менее, исследования, которые оценивали пациентов, у которых вирус не реагирует на Prod сообщили присутствие RAVs, которые придают снижение susceptibly к NS3 ингибиторы протеазы (например, paritaprevir), ингибиторы NS5A (например, daclatasvir, ledipasvir, ombitasvir), и ненуклеозидными ингибиторы полимеразы (например, dasabuvir). Основываясь на этих наблюдениях, пациенты, для которых лечение с Prod не приведет к СВР должны Лечение гепатита откладывается в условиях умеренного заболевания печени, и для тех, кто фиброза, тестирование на RAVs должны быть выполнены.</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Данные о повторной пациентов, для которых предшествующее лечение ledipasvir / софосбувир не удалось весьма ограничены. В экспериментальном исследовании, 41 пациентов с и без цирроза, которые не достижения УВО с 8 недель или 12 недель ledipasvir / софосбувир были отступили с 24 недель ledipasvir / софосбувир. Ставки SVR12 варьироваться в зависимости от наличия или отсутствия ингибиторов NS5A RAVs. Среди 11 пациентов, у которых ингибитор NS5A RAVs не были обнаружены, СВР произошло в 11 из 11 (100%); В отличие от этого, среди 30 больных, у которых ингибитор NS5A RAVs были обнаружены, СВР произошло в 18 30 (60%). Важно отметить, что ингибитор NS5B RAVs (например, S282T), как известно, придают снизилась активность софосбувир наблюдались у 3 из 12 (25%) пациентов, для которых режим повторного успеха не имела. Аналогичным образом, в ОПТИМИСТ-2 исследовании, в котором пациенты с циррозом лечили simeprevir и софосбувир, наличие NS3 RAVs, а именно Q80K полиморфизма, привело к уменьшению скорости СВР у пациентов с HCV генотипа 1a инфекции. СВР произошло в 25 из 34 (74%) пациентов с генотипом 1а и Q80K RAV и 35 из 38 (92%) пациентов с генотипом 1а без Q80K RAV. На основании этих данных, повторное для пациентов, для которых NS5A содержащей ингибитор режим произошел сбой следует рассматривать в контексте повторного лечения срочности и наличия или отсутствия RAVs к ингибиторам NS3 и NS5A. Кроме того, на основе ограниченных данных, рибавирин рекомендуется в качестве части всех схем повторного лечения для пациентов, у которых предшествующее лечение ингибиторами NS5A не удалось. Хотя нет никаких данных, рассмотрение может быть также уделено добавлением ПЭГ-ИФН в режиме повторного лечения у пациентов, которые имеют право на это средство; ПЭГ-ИФН будет противовирусной активностью, независимо от настоящего RAVs.</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r w:rsidRPr="000E2181">
        <w:rPr>
          <w:rFonts w:ascii="Times New Roman" w:eastAsia="Times New Roman" w:hAnsi="Times New Roman" w:cs="Times New Roman"/>
          <w:b/>
          <w:bCs/>
          <w:color w:val="638B7D"/>
          <w:sz w:val="31"/>
          <w:szCs w:val="31"/>
          <w:lang w:eastAsia="ru-RU"/>
        </w:rPr>
        <w:t>II. Генотип 2</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Рекомендуемая схема для пациентов с ВГС генотипа 2 инфекции, в которых до ПЭГ-ИФН и рибавирином лечение не удалось.</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 xml:space="preserve">Ежедневно софосбувир (400 мг) и на основе веса рибавирина в течение 16 недель или 24 недель рекомендуется для пациентов с ВГС генотипа 2 инфекции, у которых перед ПЭГ-ИФН и рибавирином лечение не удалось. </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Высокие темпы SVR12 были продемонстрированы у пациентов с ВГС генотипа 2 инфекции в которых предшествующее лечение ПЕГ-ИФН и рибавирина не удалось, которые были отступили с 12 недель софосбувир и рибавирином. Ограниченные данные доступны для лечебно-опытный пациентов с генотипом HCV-инфекции и 2 цирроза; Однако, в исследовании FUSION, численно более высокие темпы SVR12 были замечены с расширением терапии от 12 недель (60%) до 16 недель (78%). (Якобсон, 2013b) В отличие от этого, суд VALENCE обнаружили высокие цены SVR12 среди ВГС генотипа 2-инфицированных лиц с циррозом печени после всего лишь 12 недель софосбувир и рибавирином (88%). (Zeuzem, 2013b) Кроме того, в исследовании бозона, 48 пациентов с генотипом HCV, 2-инфекции, которые не реагируют на предварительной обработки с ПЭГ-ИФН и рибавирином лечили софосбувир и рибавирином в течение 16 недель (п = 15) или 24 недель ( п = 17) или в сочетании с пэгинтерферона в течение 12 недель (n = 16). (Фостер, 2015) СВР был достигнут в 13 из 15 (87%) и 17 из 17 (100%) пациентов, получавших рибавирин софосбувир плюс в течение 16 недель и 24 недель, соответственно. Среди тех, кто получил софосбувир, ПЭГ-ИФН, рибавирином и в течение 12 недель, УВО произошло в 15 из 16 (94%). Таким образом, окончательные рекомендации по соответствующей продолжительности софосбувир и рибавирина для лечения пережитое, генотип ВГС 2-инфицированных лиц с циррозом печени не может быть сделано в это время. Решение о продлении терапии с рибавирином софосбувир до 16 недель или 24 недель, или добавить ПЭГ-ИФН в течение 12 недель должен быть сделан на индивидуальной основе пациента.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Альтернативная схема для пациентов с ВГС генотипа 2 инфекции, которые имеют право на получение IFN, и в которых до ПЭГ-ИФН и рибавирином лечение не удалось.</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Повторное ежедневная софосбувир (400 мг) и веса на основе рибавирина плюс еженедельный ПЭГ-ИФН в течение 12 недель является альтернативой для пациентов с генотипом HCV, 2 инфекции, которые имеют право на получение PEG-IFN, в которых предыдущая ПЭГ-ИФН и рибавирином лечения не смогли.</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xml:space="preserve">В знак признания потенциальных ограничений софосбувир и рибавирином в трудных для лечения ВГС генотипа 2-инфицированных пациентов, у которых предшествующее лечение не удалось, в частности, тех, с циррозом печени, лечения, которые включали PEG-IFN была изучена. LoneStar-2 исследование (открытое этикетки, сингл-сайт, однорукавная, фаза испытание II), оценивается PEG-IFN (180 мкг в неделю), софосбувир (400 мг в день), а вес на основе рибавирина (ежедневно в 2 разделить дозы для 12 недель) в лечении пациентов с опытным генотипом 2 или 3. </w:t>
      </w:r>
      <w:hyperlink r:id="rId28" w:anchor="lawitz2014a" w:history="1">
        <w:r w:rsidRPr="000E2181">
          <w:rPr>
            <w:rFonts w:ascii="Times New Roman" w:eastAsia="Times New Roman" w:hAnsi="Times New Roman" w:cs="Times New Roman"/>
            <w:color w:val="0000FF"/>
            <w:sz w:val="24"/>
            <w:szCs w:val="24"/>
            <w:u w:val="single"/>
            <w:lang w:eastAsia="ru-RU"/>
          </w:rPr>
          <w:t>(Lawitz,</w:t>
        </w:r>
      </w:hyperlink>
      <w:r w:rsidRPr="000E2181">
        <w:rPr>
          <w:rFonts w:ascii="Times New Roman" w:eastAsia="Times New Roman" w:hAnsi="Times New Roman" w:cs="Times New Roman"/>
          <w:sz w:val="24"/>
          <w:szCs w:val="24"/>
          <w:lang w:eastAsia="ru-RU"/>
        </w:rPr>
        <w:t xml:space="preserve"> </w:t>
      </w:r>
      <w:hyperlink r:id="rId29" w:anchor="lawitz2014a" w:history="1">
        <w:r w:rsidRPr="000E2181">
          <w:rPr>
            <w:rFonts w:ascii="Times New Roman" w:eastAsia="Times New Roman" w:hAnsi="Times New Roman" w:cs="Times New Roman"/>
            <w:color w:val="0000FF"/>
            <w:sz w:val="24"/>
            <w:szCs w:val="24"/>
            <w:u w:val="single"/>
            <w:lang w:eastAsia="ru-RU"/>
          </w:rPr>
          <w:t xml:space="preserve">2014A) Цирроз печени присутствовал на базовой линии в 61% больных. </w:t>
        </w:r>
      </w:hyperlink>
      <w:r w:rsidRPr="000E2181">
        <w:rPr>
          <w:rFonts w:ascii="Times New Roman" w:eastAsia="Times New Roman" w:hAnsi="Times New Roman" w:cs="Times New Roman"/>
          <w:sz w:val="24"/>
          <w:szCs w:val="24"/>
          <w:lang w:eastAsia="ru-RU"/>
        </w:rPr>
        <w:t>SVR12 был достигнут в 22 из 23 (96%) человек с ВГС генотипа 2 инфекции. Для пациентов с циррозом и без, СВР произошло в 13 из 14 пациентов (93%) и 9 из 9 пациентов (100%), соответственно. Несмотря на ограничения данных из этого небольшого исследования и учета потенциальных проблем, присущих IFN-терапии, основанной на, софосбувир плюс ПЭГ-ИФН и рибавирина является альтернативой 12-неделе режим для генотипа ВГС 2-инфицированных пациентов с циррозом печени.</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Рекомендуемые схемы для пациентов с ВГС генотипа 2 инфекции, в которых до софосбувир и лечение рибавирином не удалось.</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daclatasvir (60 мг) плюс софосбувир (400 мг) в течение 24 недель с или без веса на основе рибавирина рекомендуется для пациентов с генотипом HCV, 2 инфекции, которые не имеют право на получение IFN, в которых предшествующее лечение софосбувир и рибавирином не удалось.</w:t>
      </w:r>
    </w:p>
    <w:p w:rsidR="000E2181" w:rsidRPr="000E2181" w:rsidRDefault="000E2181" w:rsidP="000E2181">
      <w:pPr>
        <w:shd w:val="clear" w:color="auto" w:fill="FFFAF6"/>
        <w:spacing w:after="0"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С</w:t>
      </w:r>
    </w:p>
    <w:p w:rsidR="000E2181" w:rsidRPr="000E2181" w:rsidRDefault="000E2181" w:rsidP="000E2181">
      <w:pPr>
        <w:shd w:val="clear" w:color="auto" w:fill="FFFAF6"/>
        <w:spacing w:after="0"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color w:val="000000"/>
          <w:sz w:val="24"/>
          <w:szCs w:val="24"/>
          <w:lang w:eastAsia="ru-RU"/>
        </w:rPr>
        <w:t> </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Повторное ежедневная софосбувир (400 мг) и веса на основе рибавирина плюс еженедельный ПЭГ-ИФН в течение 12 недель рекомендуется для пациентов, которые имеют генотип ВГС 2 инфекции, которые имеют право на получение IFN, и в которых предшествующее лечение софосбувир и рибавирином не удалось ,</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C</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На сегодняшний день существует доступны для руководства терапии у пациентов с ВГС генотипа 2 инфекции мало данных, в которых предшествующее лечение софосбувир и рибавирином не удалось. В исследовании бозона, пациенты, которые имели предшествующее лечение ПЕГ-ИФН и рибавирина были высокие цены реагирования (SVR12 в 15 из 16 пациентов), когда отступили с софосбувир, ПЭГ-ИФН, рибавирином и в течение 12 недель. Хотя пациенты, которые ранее были обработаны с софосбувир рибавирином не были специально изучены, повторное с добавлением ПЭГ-ИФН, скорее всего, улучшить показатели реагирования и может рассматриваться в качестве пациента IFN-право в необходимости более-немедленного лечения. </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Сочетание daclatasvir и софосбувир эффективен у пациентов с генотипом HCV, 2 инфекции, но имеются ограниченные данные об этой терапии в лечении пациентов с опытным Генотип ВГС 2 инфекции. (Сулковский, 2014b); (Wyles, 2015) Для пациентов, у которых предшествующее лечение софосбувир и рибавирином удалось которые IFN неприемлемыми, решение для лечения с daclatasvir и софосбувир должен быть сделан на индивидуальной основе пациента с учетом продления терапии до 24 недель с добавлением рибавирин, особенно в трудных для лечения пациентов, такие, как те, с циррозом печени.</w:t>
      </w:r>
    </w:p>
    <w:p w:rsidR="000E2181" w:rsidRPr="000E2181" w:rsidRDefault="000E2181" w:rsidP="000E2181">
      <w:pPr>
        <w:shd w:val="clear" w:color="auto" w:fill="F4E5E5"/>
        <w:spacing w:after="120" w:line="240" w:lineRule="auto"/>
        <w:rPr>
          <w:rFonts w:ascii="Times New Roman" w:eastAsia="Times New Roman" w:hAnsi="Times New Roman" w:cs="Times New Roman"/>
          <w:color w:val="000000"/>
          <w:sz w:val="26"/>
          <w:szCs w:val="26"/>
          <w:lang w:eastAsia="ru-RU"/>
        </w:rPr>
      </w:pPr>
      <w:r w:rsidRPr="000E2181">
        <w:rPr>
          <w:rFonts w:ascii="Times New Roman" w:eastAsia="Times New Roman" w:hAnsi="Times New Roman" w:cs="Times New Roman"/>
          <w:b/>
          <w:bCs/>
          <w:i/>
          <w:iCs/>
          <w:color w:val="000000"/>
          <w:sz w:val="26"/>
          <w:szCs w:val="26"/>
          <w:lang w:eastAsia="ru-RU"/>
        </w:rPr>
        <w:t>Следующие схемы НЕ рекомендуется для пациентов с ВГС генотипа 2 инфекции в которых до терапии ВГС с ПЭГ-ИФН и рибавирина не удалось.</w:t>
      </w:r>
    </w:p>
    <w:p w:rsidR="000E2181" w:rsidRPr="000E2181" w:rsidRDefault="000E2181" w:rsidP="000E2181">
      <w:pPr>
        <w:numPr>
          <w:ilvl w:val="0"/>
          <w:numId w:val="2"/>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 xml:space="preserve">ПЭГ-ИФН и рибавирином или без телапревира или боцепревир </w:t>
      </w:r>
    </w:p>
    <w:p w:rsidR="000E2181" w:rsidRPr="000E2181" w:rsidRDefault="000E2181" w:rsidP="000E218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IIb, уровень А</w:t>
      </w:r>
    </w:p>
    <w:p w:rsidR="000E2181" w:rsidRPr="000E2181" w:rsidRDefault="000E2181" w:rsidP="000E2181">
      <w:pPr>
        <w:numPr>
          <w:ilvl w:val="0"/>
          <w:numId w:val="2"/>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Ledipasvir / софосбувир</w:t>
      </w:r>
    </w:p>
    <w:p w:rsidR="000E2181" w:rsidRPr="000E2181" w:rsidRDefault="000E2181" w:rsidP="000E218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III, уровень А</w:t>
      </w:r>
    </w:p>
    <w:p w:rsidR="000E2181" w:rsidRPr="000E2181" w:rsidRDefault="000E2181" w:rsidP="000E2181">
      <w:pPr>
        <w:numPr>
          <w:ilvl w:val="0"/>
          <w:numId w:val="2"/>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Монотерапия пэгинтерферона, рибавирина или прямого действия противовирусных</w:t>
      </w:r>
    </w:p>
    <w:p w:rsidR="000E2181" w:rsidRPr="000E2181" w:rsidRDefault="000E2181" w:rsidP="000E2181">
      <w:pPr>
        <w:shd w:val="clear" w:color="auto" w:fill="F4E5E5"/>
        <w:spacing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III, уровень А</w:t>
      </w:r>
    </w:p>
    <w:p w:rsidR="000E2181" w:rsidRPr="000E2181" w:rsidRDefault="000E2181" w:rsidP="000E2181">
      <w:pPr>
        <w:spacing w:after="0"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Нет протеазы ВГС ингибиторы не были одобрены продуктами и лекарствами США (FDA) или указаны для лечения ВГС генотипа 2 инфекции. Тем не менее, есть в пробирке и в естественных условиях доказательств того, что simeprevir обладает активностью в отношении генотипом 2. Хотя ПЭГ-ИФН плюс рибавирин был оплотом лечения генотипом 2, требует более длительного продолжительность терапии, менее эффективна и имеет больше побочных эффектов, чем рекомендованных режимов.</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r w:rsidRPr="000E2181">
        <w:rPr>
          <w:rFonts w:ascii="Times New Roman" w:eastAsia="Times New Roman" w:hAnsi="Times New Roman" w:cs="Times New Roman"/>
          <w:b/>
          <w:bCs/>
          <w:color w:val="638B7D"/>
          <w:sz w:val="31"/>
          <w:szCs w:val="31"/>
          <w:lang w:eastAsia="ru-RU"/>
        </w:rPr>
        <w:t>III. Генотип 3</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Рекомендуемые схемы для больных с генотипом вируса гепатита 3-инфекции без цирроза, в которых предшествующее лечение ПЕГ-ИФН и рибавирина не удалось.</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daclatasvir (60 мг) и софосбувир (400 мг) в течение 12 недель рекомендуется для пациентов с ВГС генотипа 3-инфекции без цирроза, в которых предшествующее лечение ПЕГ-ИФН и рибавирина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софосбувир (400 мг) и на основе веса рибавирина плюс еженедельно ПЭГ-ИФН в течение 12 недель рекомендуется для ИФН-право пациентов с ВГС генотипа 3-инфекции, в которых предшествующее лечение ПЕГ-ИФН и рибавирина не удалось.</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Рекомендуемые схемы для больных с генотипом вируса гепатита 3-инфекции с циррозом, у которых предшествующее лечение ПЕГ-ИФН и рибавирина не удалось.</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daclatasvir (60 мг) и софосбувир (400 мг) в течение 24 недель с весом на основе рибавирина рекомендуется для пациентов с циррозом печени и генотип ВГС 3 инфекции, в которых предшествующее лечение ПЕГ-ИФН и рибавирина не удалось, и которые IFN неприемлемыми.</w:t>
      </w:r>
    </w:p>
    <w:p w:rsidR="000E2181" w:rsidRPr="000E2181" w:rsidRDefault="000E2181" w:rsidP="000E2181">
      <w:pPr>
        <w:shd w:val="clear" w:color="auto" w:fill="FFFAF6"/>
        <w:spacing w:after="0"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С</w:t>
      </w:r>
    </w:p>
    <w:p w:rsidR="000E2181" w:rsidRPr="000E2181" w:rsidRDefault="000E2181" w:rsidP="000E2181">
      <w:pPr>
        <w:shd w:val="clear" w:color="auto" w:fill="FFFAF6"/>
        <w:spacing w:after="0"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color w:val="000000"/>
          <w:sz w:val="24"/>
          <w:szCs w:val="24"/>
          <w:lang w:eastAsia="ru-RU"/>
        </w:rPr>
        <w:t> </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софосбувир (400 мг) и на основе веса рибавирина плюс еженедельно ПЭГ-ИФН в течение 12 недель рекомендуется для пациентов с ВГС генотипа 3-инфекции, в которых предшествующее лечение ПЕГ-ИФН и рибавирина не удалось, и которые IFN право.</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 уровень А</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В исследовании Лоунстар-2, добавляя 12 недель ПЭГ-ИФН в софосбувир и рибавирина режима привело к численно более высокой скоростью реакции у лиц с генотипом HCV-инфекции 3, чем достигается софосбувир и рибавирина только в течение 24 недель. Из генотипом 3-инфицированных пациентов с циррозом и без, 10 из 12 (83%) достигли УВО. Эти предварительные данные были подтверждены в исследовании бозона, в котором пациенты с генотипом HCV 3 инфекции были рандомизированы для получения лечения с 1 по 3 схемам: софосбувир и рибавирином в течение 16 недель; софосбувир и рибавирином в течение 24 недель; или ПЭГ-ИФН (альфа-2а 180 мкг СК в неделю), софосбувир и рибавирином в течение 12 недель. Среди пациентов с генотипом HCV, 3-инфекции, SVR12 был достигнут в 168 181 пациентов (92,8%), получавших 12 недель ПЭГ-ИФН, софосбувир, и рибавирина и 153 182 пациентов (84,1%), получавших в течение 24 недель софосбувир и рибавирином ; только 128 181 пациентов (70,7%), получавших 16 недель софосбувир и рибавирином достигли SVR12. Лечение ПЭГ-ИФН, софосбувир и рибавирином в течение 12 недель привело к более высокой ставке СВР, чем софосбувир и рибавирином в лечении пациентов, опытный с генотипом HCV, 3-инфекции с (85,7% и 76,5%, соответственно) и без цирроза (94,2% и 81,5%, соответственно). Никакой разницы не наблюдалось по отношению к безопасности и переносимости исследуемых режимов. Соответственно, данные из этих рандомизированных контролируемых испытаний решительно поддерживают добавление ПЭГ-ИФН в софосбувир и рибавирином у всех пациентов опыт лечения с ВГС генотипа 3-инфекции, в том числе без цирроза, когда по сравнению с софосбувир и рибавирином в одиночку.</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Хотя данные очень ограничены для лечения опытным генотип ВГС 3-инфицированных пациентов с циррозом печени, особенно те, кто не имеют права на IFN, лечение daclatasvir и софосбувир и рибавирином в течение 24 недель рекомендуется; Однако, упущения рибавирина может рассматриваться для пациентов, у которых рибавирин, содержащих терапии противопоказано.</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Рекомендуемые схемы для больных с генотипом вируса гепатита 3-инфекции, в которых предшествующее лечение софосбувир и рибавирином не удалось.</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daclatasvir (60 мг) и софосбувир (400 мг) в течение 24 недель с весом на основе рибавирина рекомендуется для ИФН-несовместимых больных с генотипом HCV-инфекции 3, в которых предшествующее лечение софосбувир и рибавирином не удалось.</w:t>
      </w:r>
    </w:p>
    <w:p w:rsidR="000E2181" w:rsidRPr="000E2181" w:rsidRDefault="000E2181" w:rsidP="000E2181">
      <w:pPr>
        <w:shd w:val="clear" w:color="auto" w:fill="FFFAF6"/>
        <w:spacing w:after="0"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C</w:t>
      </w:r>
    </w:p>
    <w:p w:rsidR="000E2181" w:rsidRPr="000E2181" w:rsidRDefault="000E2181" w:rsidP="000E2181">
      <w:pPr>
        <w:shd w:val="clear" w:color="auto" w:fill="FFFAF6"/>
        <w:spacing w:after="0"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color w:val="000000"/>
          <w:sz w:val="24"/>
          <w:szCs w:val="24"/>
          <w:lang w:eastAsia="ru-RU"/>
        </w:rPr>
        <w:t> </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софосбувир (400 мг) и на основе веса рибавирин плюс еженедельно ПЭГ-ИФН в течение 12 недель рекомендуется для IFN-право пациентов с HCV генотипа 3 инфекции, в которых предшествующее лечение рибавирином и софосбувир не удалось.</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C</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В союзник-3 исследования, у 7 больных, ранее получавших софосбувир-содержащих препаратов были отступили с daclatasvir и софосбувир в течение 12 недель. Из этих пациентов, 5 (71%) достигли SVR12. (Nelson, 2015) На основании этих ограниченных данных, 12 недель и daclatasvir софосбувир может быть недостаточным, и увеличение продолжительности до 24 недель терапии и добавление веса на основе рибавирина рекомендуется.</w:t>
      </w:r>
    </w:p>
    <w:p w:rsidR="000E2181" w:rsidRPr="000E2181" w:rsidRDefault="000E2181" w:rsidP="000E2181">
      <w:pPr>
        <w:shd w:val="clear" w:color="auto" w:fill="F4E5E5"/>
        <w:spacing w:after="120" w:line="240" w:lineRule="auto"/>
        <w:rPr>
          <w:rFonts w:ascii="Times New Roman" w:eastAsia="Times New Roman" w:hAnsi="Times New Roman" w:cs="Times New Roman"/>
          <w:color w:val="000000"/>
          <w:sz w:val="26"/>
          <w:szCs w:val="26"/>
          <w:lang w:eastAsia="ru-RU"/>
        </w:rPr>
      </w:pPr>
      <w:r w:rsidRPr="000E2181">
        <w:rPr>
          <w:rFonts w:ascii="Times New Roman" w:eastAsia="Times New Roman" w:hAnsi="Times New Roman" w:cs="Times New Roman"/>
          <w:b/>
          <w:bCs/>
          <w:i/>
          <w:iCs/>
          <w:color w:val="000000"/>
          <w:sz w:val="26"/>
          <w:szCs w:val="26"/>
          <w:lang w:eastAsia="ru-RU"/>
        </w:rPr>
        <w:t xml:space="preserve">Следующие схемы НЕ рекомендуется для пациентов с ВГС генотипа 3-инфекции, в которых предшествующее лечение ПЕГ-ИФН и рибавирина не удалось. </w:t>
      </w:r>
    </w:p>
    <w:p w:rsidR="000E2181" w:rsidRPr="000E2181" w:rsidRDefault="000E2181" w:rsidP="000E2181">
      <w:pPr>
        <w:numPr>
          <w:ilvl w:val="0"/>
          <w:numId w:val="3"/>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ПЭГ-ИФН и рибавирином в течение 24 недель до 48 недель</w:t>
      </w:r>
    </w:p>
    <w:p w:rsidR="000E2181" w:rsidRPr="000E2181" w:rsidRDefault="000E2181" w:rsidP="000E218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IIb, уровень А</w:t>
      </w:r>
    </w:p>
    <w:p w:rsidR="000E2181" w:rsidRPr="000E2181" w:rsidRDefault="000E2181" w:rsidP="000E2181">
      <w:pPr>
        <w:numPr>
          <w:ilvl w:val="0"/>
          <w:numId w:val="3"/>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Монотерапия пэгинтерферона, рибавирина или прямого действия противовирусных</w:t>
      </w:r>
    </w:p>
    <w:p w:rsidR="000E2181" w:rsidRPr="000E2181" w:rsidRDefault="000E2181" w:rsidP="000E218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III, уровень А</w:t>
      </w:r>
    </w:p>
    <w:p w:rsidR="000E2181" w:rsidRPr="000E2181" w:rsidRDefault="000E2181" w:rsidP="000E2181">
      <w:pPr>
        <w:numPr>
          <w:ilvl w:val="0"/>
          <w:numId w:val="3"/>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Telaprevir-, boceprevir- или схемы simeprevir основе.</w:t>
      </w:r>
    </w:p>
    <w:p w:rsidR="000E2181" w:rsidRPr="000E2181" w:rsidRDefault="000E2181" w:rsidP="000E2181">
      <w:pPr>
        <w:shd w:val="clear" w:color="auto" w:fill="F4E5E5"/>
        <w:spacing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III, уровень А</w:t>
      </w:r>
    </w:p>
    <w:p w:rsidR="000E2181" w:rsidRPr="000E2181" w:rsidRDefault="000E2181" w:rsidP="000E2181">
      <w:pPr>
        <w:spacing w:after="0"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Нет протеазы ВГС ингибиторы не было FDA одобрен или указаны для лечения ВГС генотипа 3-инфекции. Несмотря на то, ПЭГ-ИФН плюс рибавирин был основой лечения ВГС генотипа 3 инфекции, менее эффективна и имеет больше побочных эффектов, чем рекомендованных режимов.</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r w:rsidRPr="000E2181">
        <w:rPr>
          <w:rFonts w:ascii="Times New Roman" w:eastAsia="Times New Roman" w:hAnsi="Times New Roman" w:cs="Times New Roman"/>
          <w:b/>
          <w:bCs/>
          <w:color w:val="638B7D"/>
          <w:sz w:val="31"/>
          <w:szCs w:val="31"/>
          <w:lang w:eastAsia="ru-RU"/>
        </w:rPr>
        <w:t>Внутривенно Генотип 4</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Данные для принятия решений у пациентов, инфицированных ВГС генотипа с 4-инфекции ограничены. Тем не менее, для пациентов, у которых требуется повторное следующие рекомендации могут быть сделаны.</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Несколько вариантов с одинаковой эффективностью в целом рекомендуется для пациентов с ВГС генотипа 4-инфекции, в которых предшествующее лечение ПЕГ-ИФН и рибавирина не удалось (перечислены в алфавитном порядке, см текст).</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сочетание фиксированной дозы ledipasvir (90 мг) / софосбувир (400 мг) в течение 12 недель рекомендуется для пациентов с ВГС генотипа 4-инфекции, в которых предшествующее лечение ПЕГ-ИФН и рибавирин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сочетание фиксированной дозы paritaprevir (150 мг) / ритонавир (100 мг) / ombitasvir (25 мг) (PRO) и на основе веса рибавирина в течение 12 недель рекомендуется для пациентов с генотипом HCV, 4-инфекции, в которых предшествующее лечение ПЭГ -IFN и рибавирином не удалось.</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софосбувир (400 мг) в течение 12 недель и ежедневного рибавирином в зависимости от массы плюс еженедельный ПЭГ-ИФН в течение 12 недель рекомендуется для повторного ИФН-право пациентов с генотипом HCV, 4-инфекции, в которых предшествующее лечение ПЭГ-ИФН и рибавирином не удалось ,</w:t>
      </w:r>
    </w:p>
    <w:p w:rsidR="000E2181" w:rsidRPr="000E2181" w:rsidRDefault="000E2181" w:rsidP="000E218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софосбувир (400 мг) и на основе веса рибавирина в течение 24 недель рекомендуется для повторного пациентов с ВГС генотипа 4-инфекции, в которых предшествующее лечение ПЕГ-ИФН и рибавирина не удалось.</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B</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ЖЕМЧУЖИНА-я был открытое фазы IIb исследования, которые включали когорту 49 опыт лечения пациентов с генотипом HCV, 4-инфекции без цирроза, который получил 12 недель paritaprevir, ритонавир, и ombitasvir (Pro) с или без веса на основе рибавирина. В анализа намерения лечить, SVR12 был достигнут в 41 из 41 (100%) больных. Этот режим хорошо переносился без серьезных неблагоприятных событий. (Hezode, 2015)</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Схемы софосбувир основе также показали эффективность у больных, инфицированных генотипом 4. софосбувир вводили ПЭГ-ИФН и рибавирина в течение 12 недель было исследовано в нейтринных суда фаза III. (Lawitz, 2013a) лечения наивный пациентов 28 с генотипом 4 инфекцией, 27 (96%) достигается SVR12. В экспериментальном исследовании лечения пациентов испытали-египетского происхождения с ВГС генотипа 4-инфекции, пациенты были рандомизированы для получения софосбувир и рибавирином в течение 12 недель или 24 недель. Скорость SVR12 численно выше в 24-недельного руку (89% [24/27] в 24-недельного руку против 70% [19/27] в 12-недельного руку), поддерживая рекомендации на более длительный срок лечения с софосбувир и рибавирина режим. (Эсмат 2014) В исследовании SYNERGY 20 пациентов с ВГС генотипа 4 инфекции лечили ledipasvir / софосбувир в течение 12 недель. Из этих пациентов, 40% были опытные и лечение у 40% фиброза. Предварительные данные показывают, эффективность, с 95% достижения SVR12 на основе анализа намерения лечить. (Капур 2014)</w:t>
      </w:r>
    </w:p>
    <w:p w:rsidR="000E2181" w:rsidRPr="000E2181" w:rsidRDefault="000E2181" w:rsidP="000E2181">
      <w:pPr>
        <w:shd w:val="clear" w:color="auto" w:fill="F4E5E5"/>
        <w:spacing w:after="120" w:line="240" w:lineRule="auto"/>
        <w:rPr>
          <w:rFonts w:ascii="Times New Roman" w:eastAsia="Times New Roman" w:hAnsi="Times New Roman" w:cs="Times New Roman"/>
          <w:color w:val="000000"/>
          <w:sz w:val="26"/>
          <w:szCs w:val="26"/>
          <w:lang w:eastAsia="ru-RU"/>
        </w:rPr>
      </w:pPr>
      <w:r w:rsidRPr="000E2181">
        <w:rPr>
          <w:rFonts w:ascii="Times New Roman" w:eastAsia="Times New Roman" w:hAnsi="Times New Roman" w:cs="Times New Roman"/>
          <w:b/>
          <w:bCs/>
          <w:i/>
          <w:iCs/>
          <w:color w:val="000000"/>
          <w:sz w:val="26"/>
          <w:szCs w:val="26"/>
          <w:lang w:eastAsia="ru-RU"/>
        </w:rPr>
        <w:t xml:space="preserve">Следующие схемы НЕ рекомендуется для пациентов с ВГС генотипа 4-инфекции, в которых предшествующее лечение ПЕГ-ИФН и рибавирина не удалось. </w:t>
      </w:r>
    </w:p>
    <w:p w:rsidR="000E2181" w:rsidRPr="000E2181" w:rsidRDefault="000E2181" w:rsidP="000E2181">
      <w:pPr>
        <w:numPr>
          <w:ilvl w:val="0"/>
          <w:numId w:val="4"/>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ПЭГ-ИФН и рибавирином или без телапревира или боцепревир</w:t>
      </w:r>
    </w:p>
    <w:p w:rsidR="000E2181" w:rsidRPr="000E2181" w:rsidRDefault="000E2181" w:rsidP="000E218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IIb, уровень А</w:t>
      </w:r>
    </w:p>
    <w:p w:rsidR="000E2181" w:rsidRPr="000E2181" w:rsidRDefault="000E2181" w:rsidP="000E2181">
      <w:pPr>
        <w:numPr>
          <w:ilvl w:val="0"/>
          <w:numId w:val="4"/>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Монотерапия пэгинтерферона, рибавирина или прямого действия противовирусных</w:t>
      </w:r>
    </w:p>
    <w:p w:rsidR="000E2181" w:rsidRPr="000E2181" w:rsidRDefault="000E2181" w:rsidP="000E2181">
      <w:pPr>
        <w:shd w:val="clear" w:color="auto" w:fill="F4E5E5"/>
        <w:spacing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III, уровень А</w:t>
      </w:r>
    </w:p>
    <w:p w:rsidR="000E2181" w:rsidRPr="000E2181" w:rsidRDefault="000E2181" w:rsidP="000E2181">
      <w:pPr>
        <w:spacing w:after="0"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ПЭГ-ИФН и рибавирином в течение 48 недель ранее рекомендуется для пациентов с ВГС генотипа 4-инфекции. (AASLD / IDSA / МСФО США 2014) Добавление софосбувир (400 мг в день) в ПЭГ-ИФН и рибавирина повышает УВО и заметно сокращает терапии без очевидных дополнительных побочных эффектов. Добавление simeprevir к ПЭГ-ИФН и рибавирина повышает уровень ответа, но имеет худшие УВО по сравнению с УВО других доступных режимов и требует более длительного ПЭГ-ИФН и рибавирином терапии, что повышает риск неблагоприятных событий. Не Поэтому, это лечение не рекомендуется. (Морено, 2013b)</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Из-за их ограниченного активностью в отношении генотипом 4 в пробирке и в естественных условиях, ни боцепревир ни телапревир не должны использоваться для лечения пациентов с ВГС генотипа 4-инфекции.</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bookmarkStart w:id="7" w:name="genotype5-6"/>
      <w:bookmarkEnd w:id="7"/>
      <w:r w:rsidRPr="000E2181">
        <w:rPr>
          <w:rFonts w:ascii="Times New Roman" w:eastAsia="Times New Roman" w:hAnsi="Times New Roman" w:cs="Times New Roman"/>
          <w:b/>
          <w:bCs/>
          <w:color w:val="638B7D"/>
          <w:sz w:val="31"/>
          <w:szCs w:val="31"/>
          <w:lang w:eastAsia="ru-RU"/>
        </w:rPr>
        <w:t>В. Генотип 5 и 6</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Имеется мало данных, чтобы помочь руководство принятия решений для пациентов, инфицированных ВГС генотипа 5 или 6. Таким образом, для тех пациентов, для которых требуется немедленное лечение, следующие рекомендации были взяты из имеющихся данных.</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Рекомендуемая схема для пациентов с ВГС генотипа 5 или 6 инфекций, в которых до лечения не удалось.</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 фиксированной дозой комбинации ledipasvir (90 мг) / софосбувир (400 мг) в течение 12 недель рекомендуется для пациентов с генотипом HCV 5 или 6 инфекций, в которых предшествующее лечение ПЕГ-ИФН и рибавирином не удалось.</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С</w:t>
      </w:r>
    </w:p>
    <w:p w:rsidR="000E2181" w:rsidRPr="000E2181" w:rsidRDefault="000E2181" w:rsidP="000E2181">
      <w:pPr>
        <w:shd w:val="clear" w:color="auto" w:fill="FFFAF6"/>
        <w:spacing w:after="120" w:line="240" w:lineRule="auto"/>
        <w:rPr>
          <w:rFonts w:ascii="Times New Roman" w:eastAsia="Times New Roman" w:hAnsi="Times New Roman" w:cs="Times New Roman"/>
          <w:color w:val="145314"/>
          <w:sz w:val="26"/>
          <w:szCs w:val="26"/>
          <w:lang w:eastAsia="ru-RU"/>
        </w:rPr>
      </w:pPr>
      <w:r w:rsidRPr="000E2181">
        <w:rPr>
          <w:rFonts w:ascii="Times New Roman" w:eastAsia="Times New Roman" w:hAnsi="Times New Roman" w:cs="Times New Roman"/>
          <w:b/>
          <w:bCs/>
          <w:i/>
          <w:iCs/>
          <w:color w:val="145314"/>
          <w:sz w:val="26"/>
          <w:szCs w:val="26"/>
          <w:lang w:eastAsia="ru-RU"/>
        </w:rPr>
        <w:t>Альтернативная схема для ИФН-право пациентов с ВГС генотипа 5 или 6 инфекций, в которых до лечения не удалось.</w:t>
      </w:r>
    </w:p>
    <w:p w:rsidR="000E2181" w:rsidRPr="000E2181" w:rsidRDefault="000E2181" w:rsidP="000E2181">
      <w:pPr>
        <w:shd w:val="clear" w:color="auto" w:fill="FFFAF6"/>
        <w:spacing w:after="120" w:line="240" w:lineRule="auto"/>
        <w:rPr>
          <w:rFonts w:ascii="Times New Roman" w:eastAsia="Times New Roman" w:hAnsi="Times New Roman" w:cs="Times New Roman"/>
          <w:color w:val="3077B8"/>
          <w:sz w:val="29"/>
          <w:szCs w:val="29"/>
          <w:lang w:eastAsia="ru-RU"/>
        </w:rPr>
      </w:pPr>
      <w:r w:rsidRPr="000E2181">
        <w:rPr>
          <w:rFonts w:ascii="Times New Roman" w:eastAsia="Times New Roman" w:hAnsi="Times New Roman" w:cs="Times New Roman"/>
          <w:b/>
          <w:bCs/>
          <w:color w:val="3077B8"/>
          <w:sz w:val="29"/>
          <w:szCs w:val="29"/>
          <w:lang w:eastAsia="ru-RU"/>
        </w:rPr>
        <w:t>Ежедневно софосбувир (400 мг) и на основе веса рибавирин плюс еженедельно ПЭГ-ИФН в течение 12 недель является альтернативой для режима ИФН-право пациентов с HCV генотипа 5 или 6 инфекции, в которых до лечения не удалось.</w:t>
      </w:r>
    </w:p>
    <w:p w:rsidR="000E2181" w:rsidRPr="000E2181" w:rsidRDefault="000E2181" w:rsidP="000E2181">
      <w:pPr>
        <w:shd w:val="clear" w:color="auto" w:fill="FFFAF6"/>
        <w:spacing w:line="240" w:lineRule="auto"/>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IIa, уровень С</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xml:space="preserve">В нейтрино суда фаза III </w:t>
      </w:r>
      <w:hyperlink r:id="rId30" w:anchor="lawitz2013a" w:history="1">
        <w:r w:rsidRPr="000E2181">
          <w:rPr>
            <w:rFonts w:ascii="Times New Roman" w:eastAsia="Times New Roman" w:hAnsi="Times New Roman" w:cs="Times New Roman"/>
            <w:color w:val="0000FF"/>
            <w:sz w:val="24"/>
            <w:szCs w:val="24"/>
            <w:u w:val="single"/>
            <w:lang w:eastAsia="ru-RU"/>
          </w:rPr>
          <w:t>(Lawitz,</w:t>
        </w:r>
      </w:hyperlink>
      <w:r w:rsidRPr="000E2181">
        <w:rPr>
          <w:rFonts w:ascii="Times New Roman" w:eastAsia="Times New Roman" w:hAnsi="Times New Roman" w:cs="Times New Roman"/>
          <w:sz w:val="24"/>
          <w:szCs w:val="24"/>
          <w:lang w:eastAsia="ru-RU"/>
        </w:rPr>
        <w:t xml:space="preserve"> </w:t>
      </w:r>
      <w:hyperlink r:id="rId31" w:anchor="lawitz2013a" w:history="1">
        <w:r w:rsidRPr="000E2181">
          <w:rPr>
            <w:rFonts w:ascii="Times New Roman" w:eastAsia="Times New Roman" w:hAnsi="Times New Roman" w:cs="Times New Roman"/>
            <w:color w:val="0000FF"/>
            <w:sz w:val="24"/>
            <w:szCs w:val="24"/>
            <w:u w:val="single"/>
            <w:lang w:eastAsia="ru-RU"/>
          </w:rPr>
          <w:t xml:space="preserve">2013a) лечебно-наивно пациентов с генотипами ВГС 1 (п = 291), 4 (п = 28), 5 (п = 1) и 6 (п = 6) обрабатывали софосбувир (400 мг в день), а также ПЭГ-ИФН (2а 180 мкг в неделю) и на основе веса рибавирина (1000 мг [&lt;75 кг] до 1200 мг [кг] ≥75) в течение 12 недель. </w:t>
        </w:r>
      </w:hyperlink>
      <w:r w:rsidRPr="000E2181">
        <w:rPr>
          <w:rFonts w:ascii="Times New Roman" w:eastAsia="Times New Roman" w:hAnsi="Times New Roman" w:cs="Times New Roman"/>
          <w:sz w:val="24"/>
          <w:szCs w:val="24"/>
          <w:lang w:eastAsia="ru-RU"/>
        </w:rPr>
        <w:t>Все 6 пациентов с генотипом 6 и 1 больного с генотипом HCV 5 достигается SVR12. Профиль нежелательных событий в этих больных и в большей исследуемой популяции был похож на что видел с ПЭГ-ИФН и рибавирином терапии.</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Ledipasvir имеет в пробирке активности против большинства генотипов ВГС 6 подтипов (исключение 6е). (Вонг 2013); (Колер 2014) Маленький, 2-центр, открытое исследование (NCT01826981) исследовали безопасность и в естественных условиях эффективность ledipasvir / софосбувир в течение 12 недель у пациентов лечебно-наивных и -experienced с генотипом 6 инфекции. Двадцать пять пациентов (92% лечение наивным), которые были в основном из азиатского происхождения (88%) были инфицированы различными подтипами генотипом 6 (32%, 6а, 24%, 6e; 12%, 6l; 8%, 6м; 12%, 6p; 8%, 6q; 4%, 6R). Два пациента (8%) имели цирроз печени. Скорость SVR12 96% (24/25). 1-пациент, который пережили рецидив был прекращен терапии в неделю 8 из-за употребления наркотиков. Ни один пациент не прекращено лечение вследствие побочных эффектов.</w:t>
      </w:r>
    </w:p>
    <w:p w:rsidR="000E2181" w:rsidRPr="000E2181" w:rsidRDefault="000E2181" w:rsidP="000E2181">
      <w:pPr>
        <w:shd w:val="clear" w:color="auto" w:fill="F4E5E5"/>
        <w:spacing w:after="120" w:line="240" w:lineRule="auto"/>
        <w:rPr>
          <w:rFonts w:ascii="Times New Roman" w:eastAsia="Times New Roman" w:hAnsi="Times New Roman" w:cs="Times New Roman"/>
          <w:color w:val="000000"/>
          <w:sz w:val="26"/>
          <w:szCs w:val="26"/>
          <w:lang w:eastAsia="ru-RU"/>
        </w:rPr>
      </w:pPr>
      <w:r w:rsidRPr="000E2181">
        <w:rPr>
          <w:rFonts w:ascii="Times New Roman" w:eastAsia="Times New Roman" w:hAnsi="Times New Roman" w:cs="Times New Roman"/>
          <w:b/>
          <w:bCs/>
          <w:i/>
          <w:iCs/>
          <w:color w:val="000000"/>
          <w:sz w:val="26"/>
          <w:szCs w:val="26"/>
          <w:lang w:eastAsia="ru-RU"/>
        </w:rPr>
        <w:t xml:space="preserve">Следующие схемы НЕ рекомендуется для пациентов с генотипом HCV 5 или 6 инфекций, в которых до лечения не удалось. </w:t>
      </w:r>
    </w:p>
    <w:p w:rsidR="000E2181" w:rsidRPr="000E2181" w:rsidRDefault="000E2181" w:rsidP="000E2181">
      <w:pPr>
        <w:numPr>
          <w:ilvl w:val="0"/>
          <w:numId w:val="5"/>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Монотерапия пэгинтерферона, рибавирина или прямого действия противовирусных</w:t>
      </w:r>
    </w:p>
    <w:p w:rsidR="000E2181" w:rsidRPr="000E2181" w:rsidRDefault="000E2181" w:rsidP="000E218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III, уровень А</w:t>
      </w:r>
    </w:p>
    <w:p w:rsidR="000E2181" w:rsidRPr="000E2181" w:rsidRDefault="000E2181" w:rsidP="000E2181">
      <w:pPr>
        <w:numPr>
          <w:ilvl w:val="0"/>
          <w:numId w:val="5"/>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0E2181">
        <w:rPr>
          <w:rFonts w:ascii="Times New Roman" w:eastAsia="Times New Roman" w:hAnsi="Times New Roman" w:cs="Times New Roman"/>
          <w:b/>
          <w:bCs/>
          <w:color w:val="B20000"/>
          <w:sz w:val="29"/>
          <w:szCs w:val="29"/>
          <w:lang w:eastAsia="ru-RU"/>
        </w:rPr>
        <w:t>Telaprevir- или схемы Boceprevir основе</w:t>
      </w:r>
    </w:p>
    <w:p w:rsidR="000E2181" w:rsidRPr="000E2181" w:rsidRDefault="000E2181" w:rsidP="000E2181">
      <w:pPr>
        <w:shd w:val="clear" w:color="auto" w:fill="F4E5E5"/>
        <w:spacing w:line="240" w:lineRule="auto"/>
        <w:ind w:left="360" w:right="120"/>
        <w:rPr>
          <w:rFonts w:ascii="Times New Roman" w:eastAsia="Times New Roman" w:hAnsi="Times New Roman" w:cs="Times New Roman"/>
          <w:color w:val="000000"/>
          <w:sz w:val="24"/>
          <w:szCs w:val="24"/>
          <w:lang w:eastAsia="ru-RU"/>
        </w:rPr>
      </w:pPr>
      <w:r w:rsidRPr="000E2181">
        <w:rPr>
          <w:rFonts w:ascii="Times New Roman" w:eastAsia="Times New Roman" w:hAnsi="Times New Roman" w:cs="Times New Roman"/>
          <w:b/>
          <w:bCs/>
          <w:color w:val="000000"/>
          <w:sz w:val="24"/>
          <w:szCs w:val="24"/>
          <w:lang w:eastAsia="ru-RU"/>
        </w:rPr>
        <w:t>Рейтинг:</w:t>
      </w:r>
      <w:r w:rsidRPr="000E2181">
        <w:rPr>
          <w:rFonts w:ascii="Times New Roman" w:eastAsia="Times New Roman" w:hAnsi="Times New Roman" w:cs="Times New Roman"/>
          <w:color w:val="000000"/>
          <w:sz w:val="24"/>
          <w:szCs w:val="24"/>
          <w:lang w:eastAsia="ru-RU"/>
        </w:rPr>
        <w:t xml:space="preserve"> Класс III, уровень А</w:t>
      </w:r>
    </w:p>
    <w:p w:rsidR="000E2181" w:rsidRPr="000E2181" w:rsidRDefault="000E2181" w:rsidP="000E2181">
      <w:pPr>
        <w:spacing w:after="0"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Из-за их ограниченного активностью в отношении генотипами 5 и 6 в пробирке и в естественных условиях, ни боцепревир ни телапревир не должны использоваться в качестве терапии для больных с генотипом вируса гепатита 5 или 6-инфекции.</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b/>
          <w:bCs/>
          <w:sz w:val="24"/>
          <w:szCs w:val="24"/>
          <w:lang w:eastAsia="ru-RU"/>
        </w:rPr>
        <w:t>Смешанные генотипы</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Редко, генотипирование анализы могут указывать на наличие смешанной инфекции (например, генотипы 1а и 2). Данные о лечении для смешанных генотипов с Daas редки, и в ожидании доступности pangenotypic режима могут быть рассмотрены. До тех пор, когда необходимо лечение, выбор противовирусного комбинации и длительности лечения не следует максимизировать эффективность против каждого генотипа, представленного в данном анализе. Когда правильная комбинация или продолжительности неясно, консультации экспертов следует искать.</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sz w:val="24"/>
          <w:szCs w:val="24"/>
          <w:lang w:eastAsia="ru-RU"/>
        </w:rPr>
        <w:t> </w:t>
      </w:r>
    </w:p>
    <w:p w:rsidR="000E2181" w:rsidRPr="000E2181" w:rsidRDefault="000E2181" w:rsidP="000E2181">
      <w:pPr>
        <w:spacing w:before="100" w:beforeAutospacing="1" w:after="100" w:afterAutospacing="1" w:line="240" w:lineRule="auto"/>
        <w:rPr>
          <w:rFonts w:ascii="Times New Roman" w:eastAsia="Times New Roman" w:hAnsi="Times New Roman" w:cs="Times New Roman"/>
          <w:sz w:val="24"/>
          <w:szCs w:val="24"/>
          <w:lang w:eastAsia="ru-RU"/>
        </w:rPr>
      </w:pPr>
      <w:r w:rsidRPr="000E2181">
        <w:rPr>
          <w:rFonts w:ascii="Times New Roman" w:eastAsia="Times New Roman" w:hAnsi="Times New Roman" w:cs="Times New Roman"/>
          <w:i/>
          <w:iCs/>
          <w:sz w:val="24"/>
          <w:szCs w:val="24"/>
          <w:lang w:eastAsia="ru-RU"/>
        </w:rPr>
        <w:t>Изменения, сделанные на 1 сентября 2015 года.</w:t>
      </w:r>
    </w:p>
    <w:bookmarkEnd w:id="0"/>
    <w:p w:rsidR="00582180" w:rsidRDefault="00582180"/>
    <w:sectPr w:rsidR="005821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A5D62"/>
    <w:multiLevelType w:val="multilevel"/>
    <w:tmpl w:val="63B21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2096D"/>
    <w:multiLevelType w:val="multilevel"/>
    <w:tmpl w:val="A9B4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E3986"/>
    <w:multiLevelType w:val="multilevel"/>
    <w:tmpl w:val="1216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05BA0"/>
    <w:multiLevelType w:val="multilevel"/>
    <w:tmpl w:val="C388C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B54365"/>
    <w:multiLevelType w:val="multilevel"/>
    <w:tmpl w:val="8D0C9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25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998"/>
    <w:rsid w:val="000E2181"/>
    <w:rsid w:val="00582180"/>
    <w:rsid w:val="00AB39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AA0556-F2EE-4673-AB6B-03E810B12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E21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2181"/>
    <w:rPr>
      <w:rFonts w:ascii="Times New Roman" w:eastAsia="Times New Roman" w:hAnsi="Times New Roman" w:cs="Times New Roman"/>
      <w:b/>
      <w:bCs/>
      <w:kern w:val="36"/>
      <w:sz w:val="48"/>
      <w:szCs w:val="48"/>
      <w:lang w:eastAsia="ru-RU"/>
    </w:rPr>
  </w:style>
  <w:style w:type="character" w:customStyle="1" w:styleId="printhtml">
    <w:name w:val="print_html"/>
    <w:basedOn w:val="a0"/>
    <w:rsid w:val="000E2181"/>
  </w:style>
  <w:style w:type="character" w:styleId="a3">
    <w:name w:val="Hyperlink"/>
    <w:basedOn w:val="a0"/>
    <w:uiPriority w:val="99"/>
    <w:semiHidden/>
    <w:unhideWhenUsed/>
    <w:rsid w:val="000E2181"/>
    <w:rPr>
      <w:color w:val="0000FF"/>
      <w:u w:val="single"/>
    </w:rPr>
  </w:style>
  <w:style w:type="character" w:customStyle="1" w:styleId="printpdf">
    <w:name w:val="print_pdf"/>
    <w:basedOn w:val="a0"/>
    <w:rsid w:val="000E2181"/>
  </w:style>
  <w:style w:type="paragraph" w:styleId="a4">
    <w:name w:val="Normal (Web)"/>
    <w:basedOn w:val="a"/>
    <w:uiPriority w:val="99"/>
    <w:semiHidden/>
    <w:unhideWhenUsed/>
    <w:rsid w:val="000E21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E2181"/>
    <w:rPr>
      <w:b/>
      <w:bCs/>
    </w:rPr>
  </w:style>
  <w:style w:type="character" w:styleId="a6">
    <w:name w:val="Emphasis"/>
    <w:basedOn w:val="a0"/>
    <w:uiPriority w:val="20"/>
    <w:qFormat/>
    <w:rsid w:val="000E21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990009">
      <w:bodyDiv w:val="1"/>
      <w:marLeft w:val="0"/>
      <w:marRight w:val="0"/>
      <w:marTop w:val="0"/>
      <w:marBottom w:val="0"/>
      <w:divBdr>
        <w:top w:val="none" w:sz="0" w:space="0" w:color="auto"/>
        <w:left w:val="none" w:sz="0" w:space="0" w:color="auto"/>
        <w:bottom w:val="none" w:sz="0" w:space="0" w:color="auto"/>
        <w:right w:val="none" w:sz="0" w:space="0" w:color="auto"/>
      </w:divBdr>
      <w:divsChild>
        <w:div w:id="852843000">
          <w:marLeft w:val="0"/>
          <w:marRight w:val="0"/>
          <w:marTop w:val="0"/>
          <w:marBottom w:val="0"/>
          <w:divBdr>
            <w:top w:val="none" w:sz="0" w:space="0" w:color="auto"/>
            <w:left w:val="none" w:sz="0" w:space="0" w:color="auto"/>
            <w:bottom w:val="none" w:sz="0" w:space="0" w:color="auto"/>
            <w:right w:val="none" w:sz="0" w:space="0" w:color="auto"/>
          </w:divBdr>
          <w:divsChild>
            <w:div w:id="217791013">
              <w:marLeft w:val="0"/>
              <w:marRight w:val="0"/>
              <w:marTop w:val="0"/>
              <w:marBottom w:val="0"/>
              <w:divBdr>
                <w:top w:val="none" w:sz="0" w:space="0" w:color="auto"/>
                <w:left w:val="none" w:sz="0" w:space="0" w:color="auto"/>
                <w:bottom w:val="none" w:sz="0" w:space="0" w:color="auto"/>
                <w:right w:val="none" w:sz="0" w:space="0" w:color="auto"/>
              </w:divBdr>
              <w:divsChild>
                <w:div w:id="1031031186">
                  <w:marLeft w:val="0"/>
                  <w:marRight w:val="0"/>
                  <w:marTop w:val="0"/>
                  <w:marBottom w:val="0"/>
                  <w:divBdr>
                    <w:top w:val="none" w:sz="0" w:space="0" w:color="auto"/>
                    <w:left w:val="none" w:sz="0" w:space="0" w:color="auto"/>
                    <w:bottom w:val="none" w:sz="0" w:space="0" w:color="auto"/>
                    <w:right w:val="none" w:sz="0" w:space="0" w:color="auto"/>
                  </w:divBdr>
                  <w:divsChild>
                    <w:div w:id="81724955">
                      <w:marLeft w:val="0"/>
                      <w:marRight w:val="0"/>
                      <w:marTop w:val="0"/>
                      <w:marBottom w:val="0"/>
                      <w:divBdr>
                        <w:top w:val="none" w:sz="0" w:space="0" w:color="auto"/>
                        <w:left w:val="none" w:sz="0" w:space="0" w:color="auto"/>
                        <w:bottom w:val="none" w:sz="0" w:space="0" w:color="auto"/>
                        <w:right w:val="none" w:sz="0" w:space="0" w:color="auto"/>
                      </w:divBdr>
                      <w:divsChild>
                        <w:div w:id="787816403">
                          <w:marLeft w:val="0"/>
                          <w:marRight w:val="0"/>
                          <w:marTop w:val="0"/>
                          <w:marBottom w:val="0"/>
                          <w:divBdr>
                            <w:top w:val="none" w:sz="0" w:space="0" w:color="auto"/>
                            <w:left w:val="none" w:sz="0" w:space="0" w:color="auto"/>
                            <w:bottom w:val="none" w:sz="0" w:space="0" w:color="auto"/>
                            <w:right w:val="none" w:sz="0" w:space="0" w:color="auto"/>
                          </w:divBdr>
                          <w:divsChild>
                            <w:div w:id="216090273">
                              <w:marLeft w:val="0"/>
                              <w:marRight w:val="0"/>
                              <w:marTop w:val="0"/>
                              <w:marBottom w:val="0"/>
                              <w:divBdr>
                                <w:top w:val="none" w:sz="0" w:space="0" w:color="auto"/>
                                <w:left w:val="none" w:sz="0" w:space="0" w:color="auto"/>
                                <w:bottom w:val="none" w:sz="0" w:space="0" w:color="auto"/>
                                <w:right w:val="none" w:sz="0" w:space="0" w:color="auto"/>
                              </w:divBdr>
                              <w:divsChild>
                                <w:div w:id="498543332">
                                  <w:marLeft w:val="0"/>
                                  <w:marRight w:val="0"/>
                                  <w:marTop w:val="0"/>
                                  <w:marBottom w:val="0"/>
                                  <w:divBdr>
                                    <w:top w:val="none" w:sz="0" w:space="0" w:color="auto"/>
                                    <w:left w:val="none" w:sz="0" w:space="0" w:color="auto"/>
                                    <w:bottom w:val="none" w:sz="0" w:space="0" w:color="auto"/>
                                    <w:right w:val="none" w:sz="0" w:space="0" w:color="auto"/>
                                  </w:divBdr>
                                  <w:divsChild>
                                    <w:div w:id="814881895">
                                      <w:marLeft w:val="0"/>
                                      <w:marRight w:val="0"/>
                                      <w:marTop w:val="480"/>
                                      <w:marBottom w:val="480"/>
                                      <w:divBdr>
                                        <w:top w:val="single" w:sz="48" w:space="12" w:color="1B6F1B"/>
                                        <w:left w:val="single" w:sz="48" w:space="12" w:color="1B6F1B"/>
                                        <w:bottom w:val="single" w:sz="48" w:space="12" w:color="1B6F1B"/>
                                        <w:right w:val="single" w:sz="48" w:space="12" w:color="1B6F1B"/>
                                      </w:divBdr>
                                    </w:div>
                                    <w:div w:id="558246856">
                                      <w:marLeft w:val="0"/>
                                      <w:marRight w:val="0"/>
                                      <w:marTop w:val="480"/>
                                      <w:marBottom w:val="480"/>
                                      <w:divBdr>
                                        <w:top w:val="single" w:sz="48" w:space="12" w:color="1B6F1B"/>
                                        <w:left w:val="single" w:sz="48" w:space="12" w:color="1B6F1B"/>
                                        <w:bottom w:val="single" w:sz="48" w:space="12" w:color="1B6F1B"/>
                                        <w:right w:val="single" w:sz="48" w:space="12" w:color="1B6F1B"/>
                                      </w:divBdr>
                                    </w:div>
                                    <w:div w:id="921598506">
                                      <w:marLeft w:val="0"/>
                                      <w:marRight w:val="0"/>
                                      <w:marTop w:val="480"/>
                                      <w:marBottom w:val="480"/>
                                      <w:divBdr>
                                        <w:top w:val="single" w:sz="48" w:space="12" w:color="1B6F1B"/>
                                        <w:left w:val="single" w:sz="48" w:space="12" w:color="1B6F1B"/>
                                        <w:bottom w:val="single" w:sz="48" w:space="12" w:color="1B6F1B"/>
                                        <w:right w:val="single" w:sz="48" w:space="12" w:color="1B6F1B"/>
                                      </w:divBdr>
                                    </w:div>
                                    <w:div w:id="1454859546">
                                      <w:marLeft w:val="0"/>
                                      <w:marRight w:val="0"/>
                                      <w:marTop w:val="480"/>
                                      <w:marBottom w:val="480"/>
                                      <w:divBdr>
                                        <w:top w:val="single" w:sz="48" w:space="12" w:color="1B6F1B"/>
                                        <w:left w:val="single" w:sz="48" w:space="12" w:color="1B6F1B"/>
                                        <w:bottom w:val="single" w:sz="48" w:space="12" w:color="1B6F1B"/>
                                        <w:right w:val="single" w:sz="48" w:space="12" w:color="1B6F1B"/>
                                      </w:divBdr>
                                    </w:div>
                                    <w:div w:id="698625876">
                                      <w:marLeft w:val="0"/>
                                      <w:marRight w:val="0"/>
                                      <w:marTop w:val="480"/>
                                      <w:marBottom w:val="480"/>
                                      <w:divBdr>
                                        <w:top w:val="single" w:sz="48" w:space="12" w:color="1B6F1B"/>
                                        <w:left w:val="single" w:sz="48" w:space="12" w:color="1B6F1B"/>
                                        <w:bottom w:val="single" w:sz="48" w:space="12" w:color="1B6F1B"/>
                                        <w:right w:val="single" w:sz="48" w:space="12" w:color="1B6F1B"/>
                                      </w:divBdr>
                                    </w:div>
                                    <w:div w:id="1290745355">
                                      <w:marLeft w:val="0"/>
                                      <w:marRight w:val="0"/>
                                      <w:marTop w:val="480"/>
                                      <w:marBottom w:val="480"/>
                                      <w:divBdr>
                                        <w:top w:val="single" w:sz="48" w:space="12" w:color="1B6F1B"/>
                                        <w:left w:val="single" w:sz="48" w:space="12" w:color="1B6F1B"/>
                                        <w:bottom w:val="single" w:sz="48" w:space="12" w:color="1B6F1B"/>
                                        <w:right w:val="single" w:sz="48" w:space="12" w:color="1B6F1B"/>
                                      </w:divBdr>
                                    </w:div>
                                    <w:div w:id="1269898173">
                                      <w:marLeft w:val="0"/>
                                      <w:marRight w:val="0"/>
                                      <w:marTop w:val="480"/>
                                      <w:marBottom w:val="480"/>
                                      <w:divBdr>
                                        <w:top w:val="single" w:sz="48" w:space="12" w:color="E00000"/>
                                        <w:left w:val="single" w:sz="48" w:space="12" w:color="E00000"/>
                                        <w:bottom w:val="single" w:sz="48" w:space="12" w:color="E00000"/>
                                        <w:right w:val="single" w:sz="48" w:space="12" w:color="E00000"/>
                                      </w:divBdr>
                                    </w:div>
                                    <w:div w:id="785585001">
                                      <w:marLeft w:val="0"/>
                                      <w:marRight w:val="0"/>
                                      <w:marTop w:val="480"/>
                                      <w:marBottom w:val="480"/>
                                      <w:divBdr>
                                        <w:top w:val="single" w:sz="48" w:space="12" w:color="1B6F1B"/>
                                        <w:left w:val="single" w:sz="48" w:space="12" w:color="1B6F1B"/>
                                        <w:bottom w:val="single" w:sz="48" w:space="12" w:color="1B6F1B"/>
                                        <w:right w:val="single" w:sz="48" w:space="12" w:color="1B6F1B"/>
                                      </w:divBdr>
                                    </w:div>
                                    <w:div w:id="750468262">
                                      <w:marLeft w:val="0"/>
                                      <w:marRight w:val="0"/>
                                      <w:marTop w:val="480"/>
                                      <w:marBottom w:val="480"/>
                                      <w:divBdr>
                                        <w:top w:val="single" w:sz="48" w:space="12" w:color="1B6F1B"/>
                                        <w:left w:val="single" w:sz="48" w:space="12" w:color="1B6F1B"/>
                                        <w:bottom w:val="single" w:sz="48" w:space="12" w:color="1B6F1B"/>
                                        <w:right w:val="single" w:sz="48" w:space="12" w:color="1B6F1B"/>
                                      </w:divBdr>
                                    </w:div>
                                    <w:div w:id="867838712">
                                      <w:marLeft w:val="0"/>
                                      <w:marRight w:val="0"/>
                                      <w:marTop w:val="480"/>
                                      <w:marBottom w:val="480"/>
                                      <w:divBdr>
                                        <w:top w:val="single" w:sz="48" w:space="12" w:color="1B6F1B"/>
                                        <w:left w:val="single" w:sz="48" w:space="12" w:color="1B6F1B"/>
                                        <w:bottom w:val="single" w:sz="48" w:space="12" w:color="1B6F1B"/>
                                        <w:right w:val="single" w:sz="48" w:space="12" w:color="1B6F1B"/>
                                      </w:divBdr>
                                    </w:div>
                                    <w:div w:id="122500997">
                                      <w:marLeft w:val="0"/>
                                      <w:marRight w:val="0"/>
                                      <w:marTop w:val="480"/>
                                      <w:marBottom w:val="480"/>
                                      <w:divBdr>
                                        <w:top w:val="single" w:sz="48" w:space="12" w:color="1B6F1B"/>
                                        <w:left w:val="single" w:sz="48" w:space="12" w:color="1B6F1B"/>
                                        <w:bottom w:val="single" w:sz="48" w:space="12" w:color="1B6F1B"/>
                                        <w:right w:val="single" w:sz="48" w:space="12" w:color="1B6F1B"/>
                                      </w:divBdr>
                                    </w:div>
                                    <w:div w:id="1075395843">
                                      <w:marLeft w:val="0"/>
                                      <w:marRight w:val="0"/>
                                      <w:marTop w:val="480"/>
                                      <w:marBottom w:val="480"/>
                                      <w:divBdr>
                                        <w:top w:val="single" w:sz="48" w:space="12" w:color="E00000"/>
                                        <w:left w:val="single" w:sz="48" w:space="12" w:color="E00000"/>
                                        <w:bottom w:val="single" w:sz="48" w:space="12" w:color="E00000"/>
                                        <w:right w:val="single" w:sz="48" w:space="12" w:color="E00000"/>
                                      </w:divBdr>
                                    </w:div>
                                    <w:div w:id="1152673966">
                                      <w:marLeft w:val="0"/>
                                      <w:marRight w:val="0"/>
                                      <w:marTop w:val="480"/>
                                      <w:marBottom w:val="480"/>
                                      <w:divBdr>
                                        <w:top w:val="single" w:sz="48" w:space="12" w:color="1B6F1B"/>
                                        <w:left w:val="single" w:sz="48" w:space="12" w:color="1B6F1B"/>
                                        <w:bottom w:val="single" w:sz="48" w:space="12" w:color="1B6F1B"/>
                                        <w:right w:val="single" w:sz="48" w:space="12" w:color="1B6F1B"/>
                                      </w:divBdr>
                                    </w:div>
                                    <w:div w:id="82262284">
                                      <w:marLeft w:val="0"/>
                                      <w:marRight w:val="0"/>
                                      <w:marTop w:val="480"/>
                                      <w:marBottom w:val="480"/>
                                      <w:divBdr>
                                        <w:top w:val="single" w:sz="48" w:space="12" w:color="1B6F1B"/>
                                        <w:left w:val="single" w:sz="48" w:space="12" w:color="1B6F1B"/>
                                        <w:bottom w:val="single" w:sz="48" w:space="12" w:color="1B6F1B"/>
                                        <w:right w:val="single" w:sz="48" w:space="12" w:color="1B6F1B"/>
                                      </w:divBdr>
                                    </w:div>
                                    <w:div w:id="260450577">
                                      <w:marLeft w:val="0"/>
                                      <w:marRight w:val="0"/>
                                      <w:marTop w:val="480"/>
                                      <w:marBottom w:val="480"/>
                                      <w:divBdr>
                                        <w:top w:val="single" w:sz="48" w:space="12" w:color="1B6F1B"/>
                                        <w:left w:val="single" w:sz="48" w:space="12" w:color="1B6F1B"/>
                                        <w:bottom w:val="single" w:sz="48" w:space="12" w:color="1B6F1B"/>
                                        <w:right w:val="single" w:sz="48" w:space="12" w:color="1B6F1B"/>
                                      </w:divBdr>
                                    </w:div>
                                    <w:div w:id="96029067">
                                      <w:marLeft w:val="0"/>
                                      <w:marRight w:val="0"/>
                                      <w:marTop w:val="480"/>
                                      <w:marBottom w:val="480"/>
                                      <w:divBdr>
                                        <w:top w:val="single" w:sz="48" w:space="12" w:color="E00000"/>
                                        <w:left w:val="single" w:sz="48" w:space="12" w:color="E00000"/>
                                        <w:bottom w:val="single" w:sz="48" w:space="12" w:color="E00000"/>
                                        <w:right w:val="single" w:sz="48" w:space="12" w:color="E00000"/>
                                      </w:divBdr>
                                    </w:div>
                                    <w:div w:id="132603813">
                                      <w:marLeft w:val="0"/>
                                      <w:marRight w:val="0"/>
                                      <w:marTop w:val="480"/>
                                      <w:marBottom w:val="480"/>
                                      <w:divBdr>
                                        <w:top w:val="single" w:sz="48" w:space="12" w:color="1B6F1B"/>
                                        <w:left w:val="single" w:sz="48" w:space="12" w:color="1B6F1B"/>
                                        <w:bottom w:val="single" w:sz="48" w:space="12" w:color="1B6F1B"/>
                                        <w:right w:val="single" w:sz="48" w:space="12" w:color="1B6F1B"/>
                                      </w:divBdr>
                                    </w:div>
                                    <w:div w:id="1385980738">
                                      <w:marLeft w:val="0"/>
                                      <w:marRight w:val="0"/>
                                      <w:marTop w:val="480"/>
                                      <w:marBottom w:val="480"/>
                                      <w:divBdr>
                                        <w:top w:val="single" w:sz="48" w:space="12" w:color="E00000"/>
                                        <w:left w:val="single" w:sz="48" w:space="12" w:color="E00000"/>
                                        <w:bottom w:val="single" w:sz="48" w:space="12" w:color="E00000"/>
                                        <w:right w:val="single" w:sz="48" w:space="12" w:color="E00000"/>
                                      </w:divBdr>
                                    </w:div>
                                    <w:div w:id="2115979614">
                                      <w:marLeft w:val="0"/>
                                      <w:marRight w:val="0"/>
                                      <w:marTop w:val="480"/>
                                      <w:marBottom w:val="480"/>
                                      <w:divBdr>
                                        <w:top w:val="single" w:sz="48" w:space="12" w:color="1B6F1B"/>
                                        <w:left w:val="single" w:sz="48" w:space="12" w:color="1B6F1B"/>
                                        <w:bottom w:val="single" w:sz="48" w:space="12" w:color="1B6F1B"/>
                                        <w:right w:val="single" w:sz="48" w:space="12" w:color="1B6F1B"/>
                                      </w:divBdr>
                                    </w:div>
                                    <w:div w:id="721833346">
                                      <w:marLeft w:val="0"/>
                                      <w:marRight w:val="0"/>
                                      <w:marTop w:val="480"/>
                                      <w:marBottom w:val="480"/>
                                      <w:divBdr>
                                        <w:top w:val="single" w:sz="48" w:space="12" w:color="1B6F1B"/>
                                        <w:left w:val="single" w:sz="48" w:space="12" w:color="1B6F1B"/>
                                        <w:bottom w:val="single" w:sz="48" w:space="12" w:color="1B6F1B"/>
                                        <w:right w:val="single" w:sz="48" w:space="12" w:color="1B6F1B"/>
                                      </w:divBdr>
                                    </w:div>
                                    <w:div w:id="1746030768">
                                      <w:marLeft w:val="0"/>
                                      <w:marRight w:val="0"/>
                                      <w:marTop w:val="480"/>
                                      <w:marBottom w:val="480"/>
                                      <w:divBdr>
                                        <w:top w:val="single" w:sz="48" w:space="12" w:color="E00000"/>
                                        <w:left w:val="single" w:sz="48" w:space="12" w:color="E00000"/>
                                        <w:bottom w:val="single" w:sz="48" w:space="12" w:color="E00000"/>
                                        <w:right w:val="single" w:sz="48" w:space="12" w:color="E00000"/>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cvguidelines.org/node/29" TargetMode="External"/><Relationship Id="rId13" Type="http://schemas.openxmlformats.org/officeDocument/2006/relationships/hyperlink" Target="http://www.hcvguidelines.org/full-report/unique-patient-populations-patients-who-develop-recurrent-hcv-infection-post%E2%80%93liver" TargetMode="External"/><Relationship Id="rId18" Type="http://schemas.openxmlformats.org/officeDocument/2006/relationships/hyperlink" Target="http://www.hcvguidelines.org/node/11" TargetMode="External"/><Relationship Id="rId26" Type="http://schemas.openxmlformats.org/officeDocument/2006/relationships/hyperlink" Target="http://www.hcvguidelines.org/full-report/references" TargetMode="External"/><Relationship Id="rId3" Type="http://schemas.openxmlformats.org/officeDocument/2006/relationships/settings" Target="settings.xml"/><Relationship Id="rId21" Type="http://schemas.openxmlformats.org/officeDocument/2006/relationships/hyperlink" Target="http://www.hcvguidelines.org/node/11" TargetMode="External"/><Relationship Id="rId7" Type="http://schemas.openxmlformats.org/officeDocument/2006/relationships/hyperlink" Target="http://www.hcvguidelines.org/node/11" TargetMode="External"/><Relationship Id="rId12" Type="http://schemas.openxmlformats.org/officeDocument/2006/relationships/hyperlink" Target="http://www.hcvguidelines.org/full-report/unique-patient-populations-patients-who-develop-recurrent-hcv-infection-post%E2%80%93liver" TargetMode="External"/><Relationship Id="rId17" Type="http://schemas.openxmlformats.org/officeDocument/2006/relationships/hyperlink" Target="http://www.hep-druginteractions.org" TargetMode="External"/><Relationship Id="rId25" Type="http://schemas.openxmlformats.org/officeDocument/2006/relationships/hyperlink" Target="http://www.olysio.com/shared/product/olysio/prescribing-information.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hcvguidelines.org/full-report/initial-treatment-hcv-infection-patients-starting-treatment" TargetMode="External"/><Relationship Id="rId20" Type="http://schemas.openxmlformats.org/officeDocument/2006/relationships/hyperlink" Target="http://www.hcvguidelines.org/node/11" TargetMode="External"/><Relationship Id="rId29" Type="http://schemas.openxmlformats.org/officeDocument/2006/relationships/hyperlink" Target="http://www.hcvguidelines.org/full-report/references" TargetMode="External"/><Relationship Id="rId1" Type="http://schemas.openxmlformats.org/officeDocument/2006/relationships/numbering" Target="numbering.xml"/><Relationship Id="rId6" Type="http://schemas.openxmlformats.org/officeDocument/2006/relationships/hyperlink" Target="http://www.hcvguidelines.org/printpdf/73" TargetMode="External"/><Relationship Id="rId11" Type="http://schemas.openxmlformats.org/officeDocument/2006/relationships/hyperlink" Target="http://www.hcvguidelines.org/node/11" TargetMode="External"/><Relationship Id="rId24" Type="http://schemas.openxmlformats.org/officeDocument/2006/relationships/hyperlink" Target="http://www.hcvguidelines.org/node/11" TargetMode="External"/><Relationship Id="rId32" Type="http://schemas.openxmlformats.org/officeDocument/2006/relationships/fontTable" Target="fontTable.xml"/><Relationship Id="rId5" Type="http://schemas.openxmlformats.org/officeDocument/2006/relationships/hyperlink" Target="http://www.hcvguidelines.org/print/73" TargetMode="External"/><Relationship Id="rId15" Type="http://schemas.openxmlformats.org/officeDocument/2006/relationships/hyperlink" Target="http://www.hcvguidelines.org/node/92" TargetMode="External"/><Relationship Id="rId23" Type="http://schemas.openxmlformats.org/officeDocument/2006/relationships/hyperlink" Target="http://www.hcvguidelines.org/node/11" TargetMode="External"/><Relationship Id="rId28" Type="http://schemas.openxmlformats.org/officeDocument/2006/relationships/hyperlink" Target="http://www.hcvguidelines.org/full-report/references" TargetMode="External"/><Relationship Id="rId10" Type="http://schemas.openxmlformats.org/officeDocument/2006/relationships/hyperlink" Target="http://www.hcvguidelines.org/full-report/unique-patient-populations-patients-decompensated-cirrhosis" TargetMode="External"/><Relationship Id="rId19" Type="http://schemas.openxmlformats.org/officeDocument/2006/relationships/hyperlink" Target="http://www.hcvguidelines.org/node/11" TargetMode="External"/><Relationship Id="rId31" Type="http://schemas.openxmlformats.org/officeDocument/2006/relationships/hyperlink" Target="http://www.hcvguidelines.org/full-report/references" TargetMode="External"/><Relationship Id="rId4" Type="http://schemas.openxmlformats.org/officeDocument/2006/relationships/webSettings" Target="webSettings.xml"/><Relationship Id="rId9" Type="http://schemas.openxmlformats.org/officeDocument/2006/relationships/hyperlink" Target="http://www.hcvguidelines.org/full-report/unique-patient-populations-patients-hivhcv-coinfection" TargetMode="External"/><Relationship Id="rId14" Type="http://schemas.openxmlformats.org/officeDocument/2006/relationships/hyperlink" Target="http://www.hcvguidelines.org/full-report/unique-patient-populations-patients-renal-impairment" TargetMode="External"/><Relationship Id="rId22" Type="http://schemas.openxmlformats.org/officeDocument/2006/relationships/hyperlink" Target="http://www.hcvguidelines.org/node/11" TargetMode="External"/><Relationship Id="rId27" Type="http://schemas.openxmlformats.org/officeDocument/2006/relationships/hyperlink" Target="http://www.hcvguidelines.org/full-report/references" TargetMode="External"/><Relationship Id="rId30" Type="http://schemas.openxmlformats.org/officeDocument/2006/relationships/hyperlink" Target="http://www.hcvguidelines.org/full-report/reference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8030</Words>
  <Characters>45772</Characters>
  <Application>Microsoft Office Word</Application>
  <DocSecurity>0</DocSecurity>
  <Lines>381</Lines>
  <Paragraphs>107</Paragraphs>
  <ScaleCrop>false</ScaleCrop>
  <Company/>
  <LinksUpToDate>false</LinksUpToDate>
  <CharactersWithSpaces>53695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rus</dc:creator>
  <cp:keywords/>
  <dc:description/>
  <cp:lastModifiedBy>vlad rus</cp:lastModifiedBy>
  <cp:revision>2</cp:revision>
  <dcterms:created xsi:type="dcterms:W3CDTF">2015-11-12T18:20:00Z</dcterms:created>
  <dcterms:modified xsi:type="dcterms:W3CDTF">2015-11-12T18:21:00Z</dcterms:modified>
</cp:coreProperties>
</file>