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BC1" w:rsidRPr="00C57BC1" w:rsidRDefault="00C57BC1" w:rsidP="00C57BC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C57BC1">
        <w:rPr>
          <w:rFonts w:ascii="Times New Roman" w:eastAsia="Times New Roman" w:hAnsi="Times New Roman" w:cs="Times New Roman"/>
          <w:b/>
          <w:bCs/>
          <w:kern w:val="36"/>
          <w:sz w:val="48"/>
          <w:szCs w:val="48"/>
          <w:lang w:eastAsia="ru-RU"/>
        </w:rPr>
        <w:t>Начальное лечение гепатита С</w:t>
      </w:r>
    </w:p>
    <w:p w:rsidR="00C57BC1" w:rsidRPr="00C57BC1" w:rsidRDefault="00C57BC1" w:rsidP="00C57BC1">
      <w:pPr>
        <w:spacing w:after="0" w:line="240" w:lineRule="auto"/>
        <w:rPr>
          <w:rFonts w:ascii="Times New Roman" w:eastAsia="Times New Roman" w:hAnsi="Times New Roman" w:cs="Times New Roman"/>
          <w:sz w:val="24"/>
          <w:szCs w:val="24"/>
          <w:lang w:eastAsia="ru-RU"/>
        </w:rPr>
      </w:pPr>
      <w:hyperlink r:id="rId5" w:tooltip="Отображение версию для печати этой страницы." w:history="1">
        <w:r w:rsidRPr="00C57BC1">
          <w:rPr>
            <w:rFonts w:ascii="Times New Roman" w:eastAsia="Times New Roman" w:hAnsi="Times New Roman" w:cs="Times New Roman"/>
            <w:color w:val="0000FF"/>
            <w:sz w:val="24"/>
            <w:szCs w:val="24"/>
            <w:u w:val="single"/>
            <w:lang w:eastAsia="ru-RU"/>
          </w:rPr>
          <w:t xml:space="preserve">Версия для печати </w:t>
        </w:r>
      </w:hyperlink>
      <w:hyperlink r:id="rId6" w:tooltip="Отображение PDF версию этой страницы." w:history="1">
        <w:r w:rsidRPr="00C57BC1">
          <w:rPr>
            <w:rFonts w:ascii="Times New Roman" w:eastAsia="Times New Roman" w:hAnsi="Times New Roman" w:cs="Times New Roman"/>
            <w:color w:val="0000FF"/>
            <w:sz w:val="24"/>
            <w:szCs w:val="24"/>
            <w:u w:val="single"/>
            <w:lang w:eastAsia="ru-RU"/>
          </w:rPr>
          <w:t>в формате PDF Версия</w:t>
        </w:r>
      </w:hyperlink>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Начальное лечение инфекции HCV включает пациентов с хроническим гепатитом С, которые ранее не были обработаны ИФН, ПЭГ-ИФН, рибавирином или любой ВГС прямого действия противовирусных (DAA) агента, будь то экспериментальный, исследовательский или США продовольствия и медикаментов </w:t>
      </w:r>
      <w:proofErr w:type="gramStart"/>
      <w:r w:rsidRPr="00C57BC1">
        <w:rPr>
          <w:rFonts w:ascii="Times New Roman" w:eastAsia="Times New Roman" w:hAnsi="Times New Roman" w:cs="Times New Roman"/>
          <w:sz w:val="24"/>
          <w:szCs w:val="24"/>
          <w:lang w:eastAsia="ru-RU"/>
        </w:rPr>
        <w:t>( FDA</w:t>
      </w:r>
      <w:proofErr w:type="gramEnd"/>
      <w:r w:rsidRPr="00C57BC1">
        <w:rPr>
          <w:rFonts w:ascii="Times New Roman" w:eastAsia="Times New Roman" w:hAnsi="Times New Roman" w:cs="Times New Roman"/>
          <w:sz w:val="24"/>
          <w:szCs w:val="24"/>
          <w:lang w:eastAsia="ru-RU"/>
        </w:rPr>
        <w:t>) одобрила.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Расширения и ноты для сокращений, используемых в данном разделе, можно найти в </w:t>
      </w:r>
      <w:hyperlink r:id="rId7" w:history="1">
        <w:r w:rsidRPr="00C57BC1">
          <w:rPr>
            <w:rFonts w:ascii="Times New Roman" w:eastAsia="Times New Roman" w:hAnsi="Times New Roman" w:cs="Times New Roman"/>
            <w:color w:val="0000FF"/>
            <w:sz w:val="24"/>
            <w:szCs w:val="24"/>
            <w:u w:val="single"/>
            <w:lang w:eastAsia="ru-RU"/>
          </w:rPr>
          <w:t>Methods таблице 3.</w:t>
        </w:r>
      </w:hyperlink>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i/>
          <w:iCs/>
          <w:sz w:val="24"/>
          <w:szCs w:val="24"/>
          <w:lang w:eastAsia="ru-RU"/>
        </w:rPr>
        <w:t xml:space="preserve">Резюме рекомендаций для первоначального лечения находится </w:t>
      </w:r>
      <w:proofErr w:type="gramStart"/>
      <w:r w:rsidRPr="00C57BC1">
        <w:rPr>
          <w:rFonts w:ascii="Times New Roman" w:eastAsia="Times New Roman" w:hAnsi="Times New Roman" w:cs="Times New Roman"/>
          <w:b/>
          <w:bCs/>
          <w:i/>
          <w:iCs/>
          <w:sz w:val="24"/>
          <w:szCs w:val="24"/>
          <w:lang w:eastAsia="ru-RU"/>
        </w:rPr>
        <w:t xml:space="preserve">в  </w:t>
      </w:r>
      <w:r w:rsidRPr="00C57BC1">
        <w:rPr>
          <w:rFonts w:ascii="Times New Roman" w:eastAsia="Times New Roman" w:hAnsi="Times New Roman" w:cs="Times New Roman"/>
          <w:b/>
          <w:bCs/>
          <w:i/>
          <w:iCs/>
          <w:sz w:val="27"/>
          <w:szCs w:val="27"/>
          <w:lang w:eastAsia="ru-RU"/>
        </w:rPr>
        <w:t>коробке</w:t>
      </w:r>
      <w:proofErr w:type="gramEnd"/>
      <w:r w:rsidRPr="00C57BC1">
        <w:rPr>
          <w:rFonts w:ascii="Times New Roman" w:eastAsia="Times New Roman" w:hAnsi="Times New Roman" w:cs="Times New Roman"/>
          <w:b/>
          <w:bCs/>
          <w:i/>
          <w:iCs/>
          <w:sz w:val="27"/>
          <w:szCs w:val="27"/>
          <w:lang w:eastAsia="ru-RU"/>
        </w:rPr>
        <w:t>.</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Уровень доказательств в целях информирования лучшее решение лечения для каждого пациента изменяется, как и прочность рекомендации, и, соответственно, рейтингу (см </w:t>
      </w:r>
      <w:hyperlink r:id="rId8" w:history="1">
        <w:r w:rsidRPr="00C57BC1">
          <w:rPr>
            <w:rFonts w:ascii="Times New Roman" w:eastAsia="Times New Roman" w:hAnsi="Times New Roman" w:cs="Times New Roman"/>
            <w:b/>
            <w:bCs/>
            <w:color w:val="0000FF"/>
            <w:sz w:val="24"/>
            <w:szCs w:val="24"/>
            <w:u w:val="single"/>
            <w:lang w:eastAsia="ru-RU"/>
          </w:rPr>
          <w:t xml:space="preserve">методов таблицу </w:t>
        </w:r>
      </w:hyperlink>
      <w:r w:rsidRPr="00C57BC1">
        <w:rPr>
          <w:rFonts w:ascii="Times New Roman" w:eastAsia="Times New Roman" w:hAnsi="Times New Roman" w:cs="Times New Roman"/>
          <w:sz w:val="24"/>
          <w:szCs w:val="24"/>
          <w:lang w:eastAsia="ru-RU"/>
        </w:rPr>
        <w:t xml:space="preserve">2). Кроме того, когда обработка отличается для конкретной группы, например, инфицированных, определенного генотипа HCV или подтипа, конкретные рекомендации. Режим в это гриф "Рекомендовано", когда он выступает для большинства пациентов и "Альтернатива", когда оптимальным в конкретной подгруппе пациентов в этой категории. Когда лечение явно уступает или считается вредным, он классифицируется как "не рекомендуется." Если не указано иное, такие схемы не должны быть введены пациентам с ВГС-инфекции. Конкретные соображения лиц с </w:t>
      </w:r>
      <w:hyperlink r:id="rId9" w:history="1">
        <w:r w:rsidRPr="00C57BC1">
          <w:rPr>
            <w:rFonts w:ascii="Times New Roman" w:eastAsia="Times New Roman" w:hAnsi="Times New Roman" w:cs="Times New Roman"/>
            <w:color w:val="0000FF"/>
            <w:sz w:val="24"/>
            <w:szCs w:val="24"/>
            <w:u w:val="single"/>
            <w:lang w:eastAsia="ru-RU"/>
          </w:rPr>
          <w:t xml:space="preserve">сочетанной ВИЧ / </w:t>
        </w:r>
      </w:hyperlink>
      <w:r w:rsidRPr="00C57BC1">
        <w:rPr>
          <w:rFonts w:ascii="Times New Roman" w:eastAsia="Times New Roman" w:hAnsi="Times New Roman" w:cs="Times New Roman"/>
          <w:sz w:val="24"/>
          <w:szCs w:val="24"/>
          <w:lang w:eastAsia="ru-RU"/>
        </w:rPr>
        <w:t xml:space="preserve">ВГС,  </w:t>
      </w:r>
      <w:hyperlink r:id="rId10" w:history="1">
        <w:r w:rsidRPr="00C57BC1">
          <w:rPr>
            <w:rFonts w:ascii="Times New Roman" w:eastAsia="Times New Roman" w:hAnsi="Times New Roman" w:cs="Times New Roman"/>
            <w:color w:val="0000FF"/>
            <w:sz w:val="24"/>
            <w:szCs w:val="24"/>
            <w:u w:val="single"/>
            <w:lang w:eastAsia="ru-RU"/>
          </w:rPr>
          <w:t>декомпенсированным циррозом</w:t>
        </w:r>
      </w:hyperlink>
      <w:r w:rsidRPr="00C57BC1">
        <w:rPr>
          <w:rFonts w:ascii="Times New Roman" w:eastAsia="Times New Roman" w:hAnsi="Times New Roman" w:cs="Times New Roman"/>
          <w:sz w:val="24"/>
          <w:szCs w:val="24"/>
          <w:lang w:eastAsia="ru-RU"/>
        </w:rPr>
        <w:t xml:space="preserve"> (умеренной или тяжелой печеночной нарушениями; </w:t>
      </w:r>
      <w:hyperlink r:id="rId11" w:anchor="ctpclass" w:history="1">
        <w:r w:rsidRPr="00C57BC1">
          <w:rPr>
            <w:rFonts w:ascii="Times New Roman" w:eastAsia="Times New Roman" w:hAnsi="Times New Roman" w:cs="Times New Roman"/>
            <w:color w:val="0000FF"/>
            <w:sz w:val="24"/>
            <w:szCs w:val="24"/>
            <w:u w:val="single"/>
            <w:lang w:eastAsia="ru-RU"/>
          </w:rPr>
          <w:t xml:space="preserve">Детский Теркотт Пью [CTP] Класс B или </w:t>
        </w:r>
      </w:hyperlink>
      <w:r w:rsidRPr="00C57BC1">
        <w:rPr>
          <w:rFonts w:ascii="Times New Roman" w:eastAsia="Times New Roman" w:hAnsi="Times New Roman" w:cs="Times New Roman"/>
          <w:sz w:val="24"/>
          <w:szCs w:val="24"/>
          <w:lang w:eastAsia="ru-RU"/>
        </w:rPr>
        <w:t xml:space="preserve">С), инфекции ВГС </w:t>
      </w:r>
      <w:hyperlink r:id="rId12" w:history="1">
        <w:r w:rsidRPr="00C57BC1">
          <w:rPr>
            <w:rFonts w:ascii="Times New Roman" w:eastAsia="Times New Roman" w:hAnsi="Times New Roman" w:cs="Times New Roman"/>
            <w:color w:val="0000FF"/>
            <w:sz w:val="24"/>
            <w:szCs w:val="24"/>
            <w:u w:val="single"/>
            <w:lang w:eastAsia="ru-RU"/>
          </w:rPr>
          <w:t>после пересадки</w:t>
        </w:r>
      </w:hyperlink>
      <w:r w:rsidRPr="00C57BC1">
        <w:rPr>
          <w:rFonts w:ascii="Times New Roman" w:eastAsia="Times New Roman" w:hAnsi="Times New Roman" w:cs="Times New Roman"/>
          <w:sz w:val="24"/>
          <w:szCs w:val="24"/>
          <w:lang w:eastAsia="ru-RU"/>
        </w:rPr>
        <w:t xml:space="preserve"> </w:t>
      </w:r>
      <w:hyperlink r:id="rId13" w:history="1">
        <w:r w:rsidRPr="00C57BC1">
          <w:rPr>
            <w:rFonts w:ascii="Times New Roman" w:eastAsia="Times New Roman" w:hAnsi="Times New Roman" w:cs="Times New Roman"/>
            <w:color w:val="0000FF"/>
            <w:sz w:val="24"/>
            <w:szCs w:val="24"/>
            <w:u w:val="single"/>
            <w:lang w:eastAsia="ru-RU"/>
          </w:rPr>
          <w:t xml:space="preserve">жир, и те, с тяжелой </w:t>
        </w:r>
      </w:hyperlink>
      <w:hyperlink r:id="rId14" w:history="1">
        <w:r w:rsidRPr="00C57BC1">
          <w:rPr>
            <w:rFonts w:ascii="Times New Roman" w:eastAsia="Times New Roman" w:hAnsi="Times New Roman" w:cs="Times New Roman"/>
            <w:color w:val="0000FF"/>
            <w:sz w:val="24"/>
            <w:szCs w:val="24"/>
            <w:u w:val="single"/>
            <w:lang w:eastAsia="ru-RU"/>
          </w:rPr>
          <w:t>почечной недостаточностью</w:t>
        </w:r>
      </w:hyperlink>
      <w:r w:rsidRPr="00C57BC1">
        <w:rPr>
          <w:rFonts w:ascii="Times New Roman" w:eastAsia="Times New Roman" w:hAnsi="Times New Roman" w:cs="Times New Roman"/>
          <w:sz w:val="24"/>
          <w:szCs w:val="24"/>
          <w:lang w:eastAsia="ru-RU"/>
        </w:rPr>
        <w:t xml:space="preserve"> или терминальной стадии почечной болезни (ХПН), рассматриваются в других разделах Руководства.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Когда несколько схем предлагаются на том же уровне рекомендации они перечислены в алфавитном порядке. В этом случае рассмотрение выбора режима должна быть определена на основе данных конкретного пациента, в том числе лекарственных взаимодействий. Как всегда, у пациентов, получавших противовирусную терапию требуют тщательной оценки для предварительной обработки для сопутствующих заболеваний, которые могут повлиять ответа на лечение. Все пациенты должны иметь тщательный мониторинг во время лечения, особенно при малокровии, если рибавирина входит в режим. (См </w:t>
      </w:r>
      <w:hyperlink r:id="rId15" w:history="1">
        <w:r w:rsidRPr="00C57BC1">
          <w:rPr>
            <w:rFonts w:ascii="Times New Roman" w:eastAsia="Times New Roman" w:hAnsi="Times New Roman" w:cs="Times New Roman"/>
            <w:b/>
            <w:bCs/>
            <w:color w:val="0000FF"/>
            <w:sz w:val="24"/>
            <w:szCs w:val="24"/>
            <w:u w:val="single"/>
            <w:lang w:eastAsia="ru-RU"/>
          </w:rPr>
          <w:t xml:space="preserve">раздел </w:t>
        </w:r>
      </w:hyperlink>
      <w:r w:rsidRPr="00C57BC1">
        <w:rPr>
          <w:rFonts w:ascii="Times New Roman" w:eastAsia="Times New Roman" w:hAnsi="Times New Roman" w:cs="Times New Roman"/>
          <w:sz w:val="24"/>
          <w:szCs w:val="24"/>
          <w:lang w:eastAsia="ru-RU"/>
        </w:rPr>
        <w:t>мониторинга)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1" w:name="genotype1"/>
      <w:bookmarkEnd w:id="1"/>
      <w:r w:rsidRPr="00C57BC1">
        <w:rPr>
          <w:rFonts w:ascii="Times New Roman" w:eastAsia="Times New Roman" w:hAnsi="Times New Roman" w:cs="Times New Roman"/>
          <w:b/>
          <w:bCs/>
          <w:color w:val="638B7D"/>
          <w:sz w:val="31"/>
          <w:szCs w:val="31"/>
          <w:lang w:eastAsia="ru-RU"/>
        </w:rPr>
        <w:t>И. Генотип 1</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Три очень мощные DAA устной комбинированные схемы рекомендуется для генотипа 1 HCV-инфицированных пациентов, хотя существуют различия в рекомендуемых схем, основанных на ВГС подтипа. Пациенты с генотипом 1а, как правило, имеют более высокие показатели рецидивов, чем пациенты с генотипом 1b с определенными режимами. Генотип ВГС-инфекции 1, которые не могут быть подтипы должны рассматриваться как генотип 1а инфекции.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Введение Daas в схемах лечения ВГС повышает риск лекарственных взаимодействий с другими сопутствующими препаратами, которые используются пациентами, и теперь с комбинациями Daas, внимание </w:t>
      </w:r>
      <w:proofErr w:type="gramStart"/>
      <w:r w:rsidRPr="00C57BC1">
        <w:rPr>
          <w:rFonts w:ascii="Times New Roman" w:eastAsia="Times New Roman" w:hAnsi="Times New Roman" w:cs="Times New Roman"/>
          <w:sz w:val="24"/>
          <w:szCs w:val="24"/>
          <w:lang w:eastAsia="ru-RU"/>
        </w:rPr>
        <w:t>к наркотиков</w:t>
      </w:r>
      <w:proofErr w:type="gramEnd"/>
      <w:r w:rsidRPr="00C57BC1">
        <w:rPr>
          <w:rFonts w:ascii="Times New Roman" w:eastAsia="Times New Roman" w:hAnsi="Times New Roman" w:cs="Times New Roman"/>
          <w:sz w:val="24"/>
          <w:szCs w:val="24"/>
          <w:lang w:eastAsia="ru-RU"/>
        </w:rPr>
        <w:t xml:space="preserve"> взаимодействий все более важным (см </w:t>
      </w:r>
      <w:hyperlink r:id="rId16" w:anchor="drug-interactions" w:history="1">
        <w:r w:rsidRPr="00C57BC1">
          <w:rPr>
            <w:rFonts w:ascii="Times New Roman" w:eastAsia="Times New Roman" w:hAnsi="Times New Roman" w:cs="Times New Roman"/>
            <w:b/>
            <w:bCs/>
            <w:color w:val="0000FF"/>
            <w:sz w:val="24"/>
            <w:szCs w:val="24"/>
            <w:u w:val="single"/>
            <w:lang w:eastAsia="ru-RU"/>
          </w:rPr>
          <w:t xml:space="preserve">наркотиков взаимодействий </w:t>
        </w:r>
      </w:hyperlink>
      <w:r w:rsidRPr="00C57BC1">
        <w:rPr>
          <w:rFonts w:ascii="Times New Roman" w:eastAsia="Times New Roman" w:hAnsi="Times New Roman" w:cs="Times New Roman"/>
          <w:sz w:val="24"/>
          <w:szCs w:val="24"/>
          <w:lang w:eastAsia="ru-RU"/>
        </w:rPr>
        <w:t xml:space="preserve">таблицу). Продукт прописывания информации и других ресурсов (например, </w:t>
      </w:r>
      <w:hyperlink r:id="rId17" w:history="1">
        <w:r w:rsidRPr="00C57BC1">
          <w:rPr>
            <w:rFonts w:ascii="Times New Roman" w:eastAsia="Times New Roman" w:hAnsi="Times New Roman" w:cs="Times New Roman"/>
            <w:b/>
            <w:bCs/>
            <w:color w:val="0000FF"/>
            <w:sz w:val="24"/>
            <w:szCs w:val="24"/>
            <w:u w:val="single"/>
            <w:lang w:eastAsia="ru-RU"/>
          </w:rPr>
          <w:t xml:space="preserve">http://www.hep-druginteractions.org/) должна быть ссылка регулярно, чтобы обеспечить безопасность при назначении схемы DAA. </w:t>
        </w:r>
      </w:hyperlink>
      <w:r w:rsidRPr="00C57BC1">
        <w:rPr>
          <w:rFonts w:ascii="Times New Roman" w:eastAsia="Times New Roman" w:hAnsi="Times New Roman" w:cs="Times New Roman"/>
          <w:sz w:val="24"/>
          <w:szCs w:val="24"/>
          <w:lang w:eastAsia="ru-RU"/>
        </w:rPr>
        <w:t>В частности, в день сочетание фиксированной дозы ledipasvir (90 мг) и софосбувир (400 мг) (далее ledipasvir / софосбувир) имеет потенциальное взаимодействие с кислотно-подавления лекарства, например, ингибиторы протонной помпы, которые могут привести к снижению поглощения ledipasvir и нижние воздействия. Из-за более-внебиржевом доступ к кислотно-подавления лекарства, комплексная оценка всех предписанных и более-рецепта лекарства рекомендуется до начала лечения. Если это возможно, кислотные подавления лекарства должны быть проведены до и в период лечения ВГС, чтобы оптимизировать экспозицию ledipasvir. Для пациентов, у которых прерывание кислоты подавления невозможно, дозирование кислоты для подавления рекомендуется за предписывающее информации.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Кроме того, ежедневно комбинация с фиксированной дозой paritaprevir (150 мг), ритонавир (100 мг), и ombitasvir (25 мг) плюс два раза в день дозированного dasabuvir (250 мг) (далее paritaprevir / ритонавир / ombitasvir плюс dasabuvir или Prod) имеет существенное взаимодействие с пролонгированной вдыхаемый бета-адренорецепторов сальметерол и одновременного применения не рекомендуется в связи с повышенным риском сердечно-сосудистых побочных эффектов, включая продление QT сегмента.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2" w:name="genotype1a"/>
      <w:bookmarkEnd w:id="2"/>
      <w:r w:rsidRPr="00C57BC1">
        <w:rPr>
          <w:rFonts w:ascii="Times New Roman" w:eastAsia="Times New Roman" w:hAnsi="Times New Roman" w:cs="Times New Roman"/>
          <w:b/>
          <w:bCs/>
          <w:color w:val="638B7D"/>
          <w:sz w:val="31"/>
          <w:szCs w:val="31"/>
          <w:lang w:eastAsia="ru-RU"/>
        </w:rPr>
        <w:t>А. Генотип 1a</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Несколько вариантов с одинаковой эффективностью в целом рекомендуется для лечения наивный пациентов с генотипом HCV 1а инфекции (в алфавитном порядке; см текст).</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daclatasvir (60 мг *) и софосбувир (400 мг) в течение 12 недель (</w:t>
      </w:r>
      <w:proofErr w:type="gramStart"/>
      <w:r w:rsidRPr="00C57BC1">
        <w:rPr>
          <w:rFonts w:ascii="Times New Roman" w:eastAsia="Times New Roman" w:hAnsi="Times New Roman" w:cs="Times New Roman"/>
          <w:b/>
          <w:bCs/>
          <w:color w:val="3077B8"/>
          <w:sz w:val="29"/>
          <w:szCs w:val="29"/>
          <w:lang w:eastAsia="ru-RU"/>
        </w:rPr>
        <w:t>без цирроз</w:t>
      </w:r>
      <w:proofErr w:type="gramEnd"/>
      <w:r w:rsidRPr="00C57BC1">
        <w:rPr>
          <w:rFonts w:ascii="Times New Roman" w:eastAsia="Times New Roman" w:hAnsi="Times New Roman" w:cs="Times New Roman"/>
          <w:b/>
          <w:bCs/>
          <w:color w:val="3077B8"/>
          <w:sz w:val="29"/>
          <w:szCs w:val="29"/>
          <w:lang w:eastAsia="ru-RU"/>
        </w:rPr>
        <w:t xml:space="preserve">) или 24 недель с или без веса на основе рибавирина (1000 мг [&lt;75 кг] до 1200 мг [&gt; 75 кг]) (цирроз) Рекомендуется для лечения наивный пациентов с генотипом HCV 1а инфекции. </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В (</w:t>
      </w:r>
      <w:proofErr w:type="gramStart"/>
      <w:r w:rsidRPr="00C57BC1">
        <w:rPr>
          <w:rFonts w:ascii="Times New Roman" w:eastAsia="Times New Roman" w:hAnsi="Times New Roman" w:cs="Times New Roman"/>
          <w:color w:val="000000"/>
          <w:sz w:val="24"/>
          <w:szCs w:val="24"/>
          <w:lang w:eastAsia="ru-RU"/>
        </w:rPr>
        <w:t>без цирроз</w:t>
      </w:r>
      <w:proofErr w:type="gramEnd"/>
      <w:r w:rsidRPr="00C57BC1">
        <w:rPr>
          <w:rFonts w:ascii="Times New Roman" w:eastAsia="Times New Roman" w:hAnsi="Times New Roman" w:cs="Times New Roman"/>
          <w:color w:val="000000"/>
          <w:sz w:val="24"/>
          <w:szCs w:val="24"/>
          <w:lang w:eastAsia="ru-RU"/>
        </w:rPr>
        <w:t xml:space="preserve"> печени); Класс IIa, уровень B (цирроз печени)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лечения наивный пациентов с генотипом HCV 1а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paritaprevir (150 мг) / ритонавир (100 мг) / ombitasvir (25 мг), а также два раза в день дозированного dasabuvir (250 мг) и веса на основе рибавирина в течение 12 недель (без цирроз) или 24 недель (</w:t>
      </w:r>
      <w:proofErr w:type="gramStart"/>
      <w:r w:rsidRPr="00C57BC1">
        <w:rPr>
          <w:rFonts w:ascii="Times New Roman" w:eastAsia="Times New Roman" w:hAnsi="Times New Roman" w:cs="Times New Roman"/>
          <w:b/>
          <w:bCs/>
          <w:color w:val="3077B8"/>
          <w:sz w:val="29"/>
          <w:szCs w:val="29"/>
          <w:lang w:eastAsia="ru-RU"/>
        </w:rPr>
        <w:t>цирроз )</w:t>
      </w:r>
      <w:proofErr w:type="gramEnd"/>
      <w:r w:rsidRPr="00C57BC1">
        <w:rPr>
          <w:rFonts w:ascii="Times New Roman" w:eastAsia="Times New Roman" w:hAnsi="Times New Roman" w:cs="Times New Roman"/>
          <w:b/>
          <w:bCs/>
          <w:color w:val="3077B8"/>
          <w:sz w:val="29"/>
          <w:szCs w:val="29"/>
          <w:lang w:eastAsia="ru-RU"/>
        </w:rPr>
        <w:t xml:space="preserve"> рекомендуется для лечения наивный пациентов с генотипом HCV 1а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bookmarkStart w:id="3" w:name="gt1-cirrhosis"/>
      <w:bookmarkEnd w:id="3"/>
      <w:r w:rsidRPr="00C57BC1">
        <w:rPr>
          <w:rFonts w:ascii="Times New Roman" w:eastAsia="Times New Roman" w:hAnsi="Times New Roman" w:cs="Times New Roman"/>
          <w:b/>
          <w:bCs/>
          <w:color w:val="3077B8"/>
          <w:sz w:val="29"/>
          <w:szCs w:val="29"/>
          <w:lang w:eastAsia="ru-RU"/>
        </w:rPr>
        <w:t xml:space="preserve">Ежедневно simeprevir (150 мг) и софосбувир (400 мг) в течение 12 недель (без цирроза) или 24 недель (без цирроза Q80K </w:t>
      </w:r>
      <w:proofErr w:type="gramStart"/>
      <w:r w:rsidRPr="00C57BC1">
        <w:rPr>
          <w:rFonts w:ascii="Times New Roman" w:eastAsia="Times New Roman" w:hAnsi="Times New Roman" w:cs="Times New Roman"/>
          <w:b/>
          <w:bCs/>
          <w:color w:val="3077B8"/>
          <w:sz w:val="29"/>
          <w:szCs w:val="29"/>
          <w:lang w:eastAsia="ru-RU"/>
        </w:rPr>
        <w:t>полиморфизма)  с</w:t>
      </w:r>
      <w:proofErr w:type="gramEnd"/>
      <w:r w:rsidRPr="00C57BC1">
        <w:rPr>
          <w:rFonts w:ascii="Times New Roman" w:eastAsia="Times New Roman" w:hAnsi="Times New Roman" w:cs="Times New Roman"/>
          <w:b/>
          <w:bCs/>
          <w:color w:val="3077B8"/>
          <w:sz w:val="29"/>
          <w:szCs w:val="29"/>
          <w:lang w:eastAsia="ru-RU"/>
        </w:rPr>
        <w:t xml:space="preserve"> или без веса на основе рибавирина  рекомендуется для лечения наивный пациентов с генотипом HCV 1а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xml:space="preserve">* Доза daclatasvir, возможно, потребуется увеличить или уменьшить при использовании одновременно с цитохрома P450 3A / 4 индукторов и ингибиторов, соответственно. Пожалуйста, обратитесь к предписывающее информации и разделе </w:t>
      </w:r>
      <w:hyperlink r:id="rId18" w:history="1">
        <w:r w:rsidRPr="00C57BC1">
          <w:rPr>
            <w:rFonts w:ascii="Times New Roman" w:eastAsia="Times New Roman" w:hAnsi="Times New Roman" w:cs="Times New Roman"/>
            <w:b/>
            <w:bCs/>
            <w:color w:val="0000FF"/>
            <w:sz w:val="24"/>
            <w:szCs w:val="24"/>
            <w:u w:val="single"/>
            <w:lang w:eastAsia="ru-RU"/>
          </w:rPr>
          <w:t>сочетанной ВИЧ / ВГС</w:t>
        </w:r>
      </w:hyperlink>
      <w:r w:rsidRPr="00C57BC1">
        <w:rPr>
          <w:rFonts w:ascii="Times New Roman" w:eastAsia="Times New Roman" w:hAnsi="Times New Roman" w:cs="Times New Roman"/>
          <w:color w:val="000000"/>
          <w:sz w:val="24"/>
          <w:szCs w:val="24"/>
          <w:lang w:eastAsia="ru-RU"/>
        </w:rPr>
        <w:t xml:space="preserve"> пациентов на antiretoviral терапии.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bookmarkStart w:id="4" w:name="genotype1a-text"/>
      <w:bookmarkEnd w:id="4"/>
      <w:proofErr w:type="gramStart"/>
      <w:r w:rsidRPr="00C57BC1">
        <w:rPr>
          <w:rFonts w:ascii="Times New Roman" w:eastAsia="Times New Roman" w:hAnsi="Times New Roman" w:cs="Times New Roman"/>
          <w:sz w:val="24"/>
          <w:szCs w:val="24"/>
          <w:lang w:eastAsia="ru-RU"/>
        </w:rPr>
        <w:t>Для генотипом</w:t>
      </w:r>
      <w:proofErr w:type="gramEnd"/>
      <w:r w:rsidRPr="00C57BC1">
        <w:rPr>
          <w:rFonts w:ascii="Times New Roman" w:eastAsia="Times New Roman" w:hAnsi="Times New Roman" w:cs="Times New Roman"/>
          <w:sz w:val="24"/>
          <w:szCs w:val="24"/>
          <w:lang w:eastAsia="ru-RU"/>
        </w:rPr>
        <w:t xml:space="preserve"> 1а-инфицированных, больных лечение наивный, есть несколько режимов сопоставимой эффективности, как описано выше.</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Daclatasvir в сочетании с софосбувир для лечения ВГС генотипа 1 инфекции могут быть рекомендовано на основе данных из союзника-2 фазе испытания III, который оценивается эффективность и безопасность daclatasivr и софосбувир в течение 12 недель у пациентов, живущих с ВИЧ, и ВГС (генотипов 1-4). (Wyles, 2015) Сто двадцать три (83%) пациентов, получавших 12 недель терапии </w:t>
      </w:r>
      <w:proofErr w:type="gramStart"/>
      <w:r w:rsidRPr="00C57BC1">
        <w:rPr>
          <w:rFonts w:ascii="Times New Roman" w:eastAsia="Times New Roman" w:hAnsi="Times New Roman" w:cs="Times New Roman"/>
          <w:sz w:val="24"/>
          <w:szCs w:val="24"/>
          <w:lang w:eastAsia="ru-RU"/>
        </w:rPr>
        <w:t>в исследовании</w:t>
      </w:r>
      <w:proofErr w:type="gramEnd"/>
      <w:r w:rsidRPr="00C57BC1">
        <w:rPr>
          <w:rFonts w:ascii="Times New Roman" w:eastAsia="Times New Roman" w:hAnsi="Times New Roman" w:cs="Times New Roman"/>
          <w:sz w:val="24"/>
          <w:szCs w:val="24"/>
          <w:lang w:eastAsia="ru-RU"/>
        </w:rPr>
        <w:t xml:space="preserve"> были заражены HCV генотипа 1. Восемьдесят три (54%) из этих пациентов были лечение наивно. Устойчивый вирусологический ответ (УВО) ставка была 96% в лечебно-наивным пациентов с генотипом HCV 1а инфекции (п = 71), получающего 12 недель терапии. Тем не менее, только 9 пациентов лечение наивный был цирроз печени. Аналогичным образом, в фазовом IIb исследования daclatasvir и софосбувир (A1444040) в 88 нелеченных больных с генотипом 1а инфекции, 21 были обработаны в течение 24 недель (11 с рибавирином) и 67 были обработаны в течение 12 недель (33 с рибавирином), и не было вирусологические рецидивы. Тем не менее, было только 14 пациентов с циррозом печени в 12-недельных и 24-недельных учебных оружия. (Сулковский 2014) Потому что пациенты с циррозом печени не были должным образом представлены в этих исследованиях, оптимальная продолжительность лечения больных с циррозом печени остается неясным. Групповые исследования сострадательной использования программы в Европе показывают, что пациенты с циррозом могут получить выгоду от расширения терапии с daclatasvir и софосбувир 24 недель, с или без рибавирина. (Вельцель, 2015); (Де Ledinghen, 2015) союзника-1 исследование III фазы исследованы daclatasvir и софосбувир с рибавирином (начальная доза 600 мг, затем титруют) у 60 пациентов с распространенным циррозом печени. (Poordad, </w:t>
      </w:r>
      <w:hyperlink r:id="rId19" w:anchor="poordad2015" w:history="1">
        <w:r w:rsidRPr="00C57BC1">
          <w:rPr>
            <w:rFonts w:ascii="Times New Roman" w:eastAsia="Times New Roman" w:hAnsi="Times New Roman" w:cs="Times New Roman"/>
            <w:color w:val="0000FF"/>
            <w:sz w:val="24"/>
            <w:szCs w:val="24"/>
            <w:u w:val="single"/>
            <w:lang w:eastAsia="ru-RU"/>
          </w:rPr>
          <w:t xml:space="preserve">2015) Только 76% пациентов с генотипом 1А (п = 34) и 100% больных с генотипом 1b (N = 11) достигли УВО в 12 недель (SVR12). </w:t>
        </w:r>
      </w:hyperlink>
      <w:r w:rsidRPr="00C57BC1">
        <w:rPr>
          <w:rFonts w:ascii="Times New Roman" w:eastAsia="Times New Roman" w:hAnsi="Times New Roman" w:cs="Times New Roman"/>
          <w:sz w:val="24"/>
          <w:szCs w:val="24"/>
          <w:lang w:eastAsia="ru-RU"/>
        </w:rPr>
        <w:t xml:space="preserve">Неясно, как много неудач лечения были среди леченных больных или тех, с CTP класса цирроза. Необходимо больше данных; Однако, в связи с риском возникновения резистентности к неструктурный 5А белок (NS5A) лечения ингибитором в момент сбоя, расширяя лечение до 24 недель для всех пациентов с инфекцией генотипа ВГС 1а и цирроза рекомендуется, и добавление рибавирина может быть на рассмотрении. У пациентов с подходящими характеристиками, курс лечения 12-недельного, что включает в себя на основе веса рибавирина (1000 мг [&lt;75 кг] до 1200 мг </w:t>
      </w:r>
      <w:r w:rsidRPr="00C57BC1">
        <w:rPr>
          <w:rFonts w:ascii="Times New Roman" w:eastAsia="Times New Roman" w:hAnsi="Times New Roman" w:cs="Times New Roman"/>
          <w:sz w:val="24"/>
          <w:szCs w:val="24"/>
          <w:u w:val="single"/>
          <w:lang w:eastAsia="ru-RU"/>
        </w:rPr>
        <w:t>[&gt;</w:t>
      </w:r>
      <w:r w:rsidRPr="00C57BC1">
        <w:rPr>
          <w:rFonts w:ascii="Times New Roman" w:eastAsia="Times New Roman" w:hAnsi="Times New Roman" w:cs="Times New Roman"/>
          <w:sz w:val="24"/>
          <w:szCs w:val="24"/>
          <w:lang w:eastAsia="ru-RU"/>
        </w:rPr>
        <w:t xml:space="preserve"> 75 кг]), могут быть рассмотрены, но поддерживается ограниченных данных.</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Ledipasvir / софосбувир был одобрен FDA для лечения ВГС генотипа 1 инфекции у больных леченных на основе 2 регистрационных испытаний: ИОН-1 (865 лечебно-наивно пациентов, а те, с циррозом были включены) и ионно-3 (647 лечения -naive пациентов, а те, с циррозом печени были исключены). ИОН-1 исследовали продолжительность лечения (12 недель против 24 недель) и необходимость рибавирином. (Afdhal, 2014A) УВО в 12 недель (SVR12) составила 97% до 99% во всех руках, без разницы в УВО, основанной на продолжительности лечения, использования рибавирина или генотипом 1 подтипа. Шестнадцать процентов субъектов, включенных были классифицированы как имеющие цирроз печени. Там не было никакой разницы в скорости SVR12 в тех, с циррозом печени (97%) по сравнению с теми, без цирроза (98%). ИОН-3 исключены пациенты с циррозом и исследованы укорочения терапии от 12 недель до 8 недель (с или без рибавирина). (Kowdley 2014) ставка SVR12 был 93% до 95% всех вооружений, без разницы в СВР </w:t>
      </w:r>
      <w:proofErr w:type="gramStart"/>
      <w:r w:rsidRPr="00C57BC1">
        <w:rPr>
          <w:rFonts w:ascii="Times New Roman" w:eastAsia="Times New Roman" w:hAnsi="Times New Roman" w:cs="Times New Roman"/>
          <w:sz w:val="24"/>
          <w:szCs w:val="24"/>
          <w:lang w:eastAsia="ru-RU"/>
        </w:rPr>
        <w:t>в анализа</w:t>
      </w:r>
      <w:proofErr w:type="gramEnd"/>
      <w:r w:rsidRPr="00C57BC1">
        <w:rPr>
          <w:rFonts w:ascii="Times New Roman" w:eastAsia="Times New Roman" w:hAnsi="Times New Roman" w:cs="Times New Roman"/>
          <w:sz w:val="24"/>
          <w:szCs w:val="24"/>
          <w:lang w:eastAsia="ru-RU"/>
        </w:rPr>
        <w:t xml:space="preserve"> намерения лечить. Тем не менее, частота рецидивов была выше в 8-недельных оружия (20 431), независимо от рибавирином использовании по сравнению с 12-недельного руку (3 216). Постфактум анализы 2 рибавирина свободных оружия начисленных базовые предикторы рецидива и определены более низкие ставки рецидивов у пациентов, получающих 8 недель ledipasvir / софосбувир которые были исходные уровни РНК ВГС ниже 6 млн МЕ / мл (2%; 2 123), и была такой же, для пациентов с аналогичными исходным уровням РНК HCV, получавших 12 недель (2%; 2 131). Этот анализ не контролировали и тем самым существенно ограничивает обобщения этого подхода к клинической практике. Сокращение лечение менее 12 недель для пациентов без цирроза должно быть сделано с осторожностью и выполняться на усмотрение практикующего.</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bookmarkStart w:id="5" w:name="genotype1a-text2"/>
      <w:bookmarkEnd w:id="5"/>
      <w:r w:rsidRPr="00C57BC1">
        <w:rPr>
          <w:rFonts w:ascii="Times New Roman" w:eastAsia="Times New Roman" w:hAnsi="Times New Roman" w:cs="Times New Roman"/>
          <w:sz w:val="24"/>
          <w:szCs w:val="24"/>
          <w:lang w:eastAsia="ru-RU"/>
        </w:rPr>
        <w:t xml:space="preserve">Prod плюс вес на основе рибавирина была одобрена FDA для лечения ВГС генотипа 1а инфекции у больных леченных на основе 3 регистрационных испытаний: САПФИР-я (322 лечебно-наивные пациенты с инфекцией генотипа ВГС 1а без цирроза), PEARL- IV (305 лечебно-наивные пациенты с генотипом 1а без цирроза), и бирюзово-II (261 лечебно-наивные и -experienced пациентов с генотипом 1а и цирроза). Суд САПФИР-я сообщил высокую скорость SVR12 (95,3%) с 12 недель Prod и рибавирина. (Фельд 2014) В целом, отказ вирусологический выше для пациентов с генотипом 1а (7 из 8 отказы были генотип 1а), чем у пациентов с генотипом 1b (1 отказа вирусологического). ЖЕМЧУЖИНА-IV была специально разработана, чтобы определить роль Prod с или без веса на основе рибавирина для лечения наивный, Генотип ВГС 1а-инфицированных пациентов без цирроза. (Ferenci 2014) SVR12 была ниже в рибавирином без руки, чем в рибавирин, содержащей руку (90% против 97%, соответственно) вследствие более высоких темпов вирусологической неудачи (7,8% против 2% соответственно), что подтверждает необходимость для веса на основе рибавирина для пациентов с генотипом 1а. БИРЮЗА-II поступил лечение наивный и -experienced пациентов (261 пациентов с генотипом 1а) с класса CTP цирроз получить либо 12 недель или 24 недель лечения с рибавирином Prod и. В целом, темпы SVR12 были 89% в 12-недельного руку и 95% в 24-недельного руку. </w:t>
      </w:r>
      <w:hyperlink r:id="rId20" w:history="1">
        <w:r w:rsidRPr="00C57BC1">
          <w:rPr>
            <w:rFonts w:ascii="Times New Roman" w:eastAsia="Times New Roman" w:hAnsi="Times New Roman" w:cs="Times New Roman"/>
            <w:color w:val="0000FF"/>
            <w:sz w:val="24"/>
            <w:szCs w:val="24"/>
            <w:u w:val="single"/>
            <w:lang w:eastAsia="ru-RU"/>
          </w:rPr>
          <w:t xml:space="preserve">(Paritaprevir </w:t>
        </w:r>
      </w:hyperlink>
      <w:hyperlink r:id="rId21" w:history="1">
        <w:r w:rsidRPr="00C57BC1">
          <w:rPr>
            <w:rFonts w:ascii="Times New Roman" w:eastAsia="Times New Roman" w:hAnsi="Times New Roman" w:cs="Times New Roman"/>
            <w:color w:val="0000FF"/>
            <w:sz w:val="24"/>
            <w:szCs w:val="24"/>
            <w:u w:val="single"/>
            <w:lang w:eastAsia="ru-RU"/>
          </w:rPr>
          <w:t xml:space="preserve">/ </w:t>
        </w:r>
      </w:hyperlink>
      <w:hyperlink r:id="rId22" w:history="1">
        <w:r w:rsidRPr="00C57BC1">
          <w:rPr>
            <w:rFonts w:ascii="Times New Roman" w:eastAsia="Times New Roman" w:hAnsi="Times New Roman" w:cs="Times New Roman"/>
            <w:color w:val="0000FF"/>
            <w:sz w:val="24"/>
            <w:szCs w:val="24"/>
            <w:u w:val="single"/>
            <w:lang w:eastAsia="ru-RU"/>
          </w:rPr>
          <w:t xml:space="preserve">ритонавир / </w:t>
        </w:r>
      </w:hyperlink>
      <w:hyperlink r:id="rId23" w:history="1">
        <w:r w:rsidRPr="00C57BC1">
          <w:rPr>
            <w:rFonts w:ascii="Times New Roman" w:eastAsia="Times New Roman" w:hAnsi="Times New Roman" w:cs="Times New Roman"/>
            <w:color w:val="0000FF"/>
            <w:sz w:val="24"/>
            <w:szCs w:val="24"/>
            <w:u w:val="single"/>
            <w:lang w:eastAsia="ru-RU"/>
          </w:rPr>
          <w:t xml:space="preserve">ombitasvir </w:t>
        </w:r>
      </w:hyperlink>
      <w:hyperlink r:id="rId24" w:history="1">
        <w:r w:rsidRPr="00C57BC1">
          <w:rPr>
            <w:rFonts w:ascii="Times New Roman" w:eastAsia="Times New Roman" w:hAnsi="Times New Roman" w:cs="Times New Roman"/>
            <w:color w:val="0000FF"/>
            <w:sz w:val="24"/>
            <w:szCs w:val="24"/>
            <w:u w:val="single"/>
            <w:lang w:eastAsia="ru-RU"/>
          </w:rPr>
          <w:t xml:space="preserve">прописывания </w:t>
        </w:r>
      </w:hyperlink>
      <w:r w:rsidRPr="00C57BC1">
        <w:rPr>
          <w:rFonts w:ascii="Times New Roman" w:eastAsia="Times New Roman" w:hAnsi="Times New Roman" w:cs="Times New Roman"/>
          <w:sz w:val="24"/>
          <w:szCs w:val="24"/>
          <w:lang w:eastAsia="ru-RU"/>
        </w:rPr>
        <w:t xml:space="preserve">информации); (Poordad 2014) Эта разница в скорости между SVR12 оружия в первую очередь, управляемых пациентов с нулевым ответ на ПЕГ-ИНФ и рибавирином; было меньше разница в частоте УВО у пациентов с циррозом, которые были наивным терапии (92% и 95%, соответственно). (Paritaprevir / ритонавир / </w:t>
      </w:r>
      <w:hyperlink r:id="rId25" w:history="1">
        <w:r w:rsidRPr="00C57BC1">
          <w:rPr>
            <w:rFonts w:ascii="Times New Roman" w:eastAsia="Times New Roman" w:hAnsi="Times New Roman" w:cs="Times New Roman"/>
            <w:color w:val="0000FF"/>
            <w:sz w:val="24"/>
            <w:szCs w:val="24"/>
            <w:u w:val="single"/>
            <w:lang w:eastAsia="ru-RU"/>
          </w:rPr>
          <w:t xml:space="preserve">ombitasvir </w:t>
        </w:r>
      </w:hyperlink>
      <w:hyperlink r:id="rId26" w:history="1">
        <w:r w:rsidRPr="00C57BC1">
          <w:rPr>
            <w:rFonts w:ascii="Times New Roman" w:eastAsia="Times New Roman" w:hAnsi="Times New Roman" w:cs="Times New Roman"/>
            <w:color w:val="0000FF"/>
            <w:sz w:val="24"/>
            <w:szCs w:val="24"/>
            <w:u w:val="single"/>
            <w:lang w:eastAsia="ru-RU"/>
          </w:rPr>
          <w:t xml:space="preserve">прописывания </w:t>
        </w:r>
      </w:hyperlink>
      <w:r w:rsidRPr="00C57BC1">
        <w:rPr>
          <w:rFonts w:ascii="Times New Roman" w:eastAsia="Times New Roman" w:hAnsi="Times New Roman" w:cs="Times New Roman"/>
          <w:sz w:val="24"/>
          <w:szCs w:val="24"/>
          <w:lang w:eastAsia="ru-RU"/>
        </w:rPr>
        <w:t>информации); (Poordad 2014)</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Оптимист-1 и -2 испытания исследовали эффективность и безопасность simeprevir (150 мг) и софосбувир (400 мг) в хронически инфицированных пациентов с генотипом 1, не и с циррозом печени, соответственно. В исследовании ОПТИМИСТ-1, 310 лечебно-наивные и -experienced пациентов без цирроза были рандомизированы на 12 по сравнению с 8 недель simeprevir плюс софосбувир режима. (Kwo, 2015) Общий уровень SVR12 97% (150/155) по сравнению с 83% (128/155), соответственно, с достоверно большей частотой рецидивов в 8-недельного руку. В 12-недельного руку не было никакой разницы в SVR12; лечение наивный и -experienced пациентов достигли цены SVR12 97% и 95%, соответственно. Там также не было разницы в SVR12 на основе генотипа 1 подтипа или наличии базового мутации резистентности Q80K. Пост специального анализа предположил, что пациенты с исходным уровнем РНК ВГС ниже 4 млн МЕ / мл достигается тот же курс SVR12 (96%) независимо от продолжительности лечения. Это определило исходный уровень РНК ВГС отличается от 6 млн МЕ / мл, определенной в ИОН-3 судебного разбирательства, предполагая, эти анализа posthoc предохранителями являются произвольными и вряд ли перевести клинической практике. В это время 8-недельного режима из simeprevir и софосбувир не может быть рекомендовано.  </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bookmarkStart w:id="6" w:name="gt1-cirrhosis-txt"/>
      <w:bookmarkEnd w:id="6"/>
      <w:r w:rsidRPr="00C57BC1">
        <w:rPr>
          <w:rFonts w:ascii="Times New Roman" w:eastAsia="Times New Roman" w:hAnsi="Times New Roman" w:cs="Times New Roman"/>
          <w:sz w:val="24"/>
          <w:szCs w:val="24"/>
          <w:lang w:eastAsia="ru-RU"/>
        </w:rPr>
        <w:t xml:space="preserve">Исследование ОПТИМИСТ-2 был одной рукой, открытое судебное разбирательство расследование 12 недель simeprevir плюс софосбувир в 103 лечебно-наивные и -experienced пациентов с циррозом печени. (Lawitz, 2015) Общий уровень SVR12 83% (86/103), с 88% (44/50) в лечебно-наивным и 79% (42/53) в лечебно-опытных пациентов, достигших SVR12. Кроме того, пациентов, инфицированных HCV генотипа 1a и 1b без мутации </w:t>
      </w:r>
      <w:proofErr w:type="gramStart"/>
      <w:r w:rsidRPr="00C57BC1">
        <w:rPr>
          <w:rFonts w:ascii="Times New Roman" w:eastAsia="Times New Roman" w:hAnsi="Times New Roman" w:cs="Times New Roman"/>
          <w:sz w:val="24"/>
          <w:szCs w:val="24"/>
          <w:lang w:eastAsia="ru-RU"/>
        </w:rPr>
        <w:t>Q80K</w:t>
      </w:r>
      <w:proofErr w:type="gramEnd"/>
      <w:r w:rsidRPr="00C57BC1">
        <w:rPr>
          <w:rFonts w:ascii="Times New Roman" w:eastAsia="Times New Roman" w:hAnsi="Times New Roman" w:cs="Times New Roman"/>
          <w:sz w:val="24"/>
          <w:szCs w:val="24"/>
          <w:lang w:eastAsia="ru-RU"/>
        </w:rPr>
        <w:t xml:space="preserve"> имел аналогичные показатели SVR12 (84% [26/31] и 92% [35/38], соответственно). Однако, пациенты с генотипом 1а инфекции и мутации Q80K имели более низкие показатели SVR12 (74% [25/34]). Таким образом, расширяя лечение до 24 недель, с или без рибавирина, рекомендуется для пациентов с циррозом печени прием simeprevir плюс софосбувир, чтобы уменьшить риск рецидива. В это время неясно, является ли расширение лечения, с добавлением или без добавления рибавирина, повысить эффективность будет в 1A-инфицированных пациентов с генотипом мутации с Q80K. Учитывая низкую частоту ответа у больных с циррозом печени, целесообразно, чтобы избежать этой схемы у больных с этим базовым мутации.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Профили безопасности всех рекомендованных режимов выше отлично. Через многочисленные фазы программы III, менее 1% пациентов без цирроза прекратили лечение раннего и побочных эффектов были слабо. Большинство неблагоприятные события произошли в рибавирином, содержащих оружия. Прекращение ставки были выше для пациентов с циррозом печени (примерно 2% для некоторых испытаний), но по-прежнему очень низкий.</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7" w:name="genotype1b"/>
      <w:bookmarkEnd w:id="7"/>
      <w:r w:rsidRPr="00C57BC1">
        <w:rPr>
          <w:rFonts w:ascii="Times New Roman" w:eastAsia="Times New Roman" w:hAnsi="Times New Roman" w:cs="Times New Roman"/>
          <w:b/>
          <w:bCs/>
          <w:color w:val="638B7D"/>
          <w:sz w:val="31"/>
          <w:szCs w:val="31"/>
          <w:lang w:eastAsia="ru-RU"/>
        </w:rPr>
        <w:t>Б. Генотип 1b</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Несколько вариантов с одинаковой эффективностью в целом рекомендуется для лечения наивный пациентов с генотипом HCV 1b инфекции (в алфавитном порядке; см текст).</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daclatasvir (60 мг *) и софосбувир (400 мг) в течение 12 недель (без цирроза) или 24 недель с или без веса на основе рибавирина (цирроз) рекомендуется для лечения наивный пациентов с генотипом HCV 1b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В (</w:t>
      </w:r>
      <w:proofErr w:type="gramStart"/>
      <w:r w:rsidRPr="00C57BC1">
        <w:rPr>
          <w:rFonts w:ascii="Times New Roman" w:eastAsia="Times New Roman" w:hAnsi="Times New Roman" w:cs="Times New Roman"/>
          <w:color w:val="000000"/>
          <w:sz w:val="24"/>
          <w:szCs w:val="24"/>
          <w:lang w:eastAsia="ru-RU"/>
        </w:rPr>
        <w:t>без цирроз</w:t>
      </w:r>
      <w:proofErr w:type="gramEnd"/>
      <w:r w:rsidRPr="00C57BC1">
        <w:rPr>
          <w:rFonts w:ascii="Times New Roman" w:eastAsia="Times New Roman" w:hAnsi="Times New Roman" w:cs="Times New Roman"/>
          <w:color w:val="000000"/>
          <w:sz w:val="24"/>
          <w:szCs w:val="24"/>
          <w:lang w:eastAsia="ru-RU"/>
        </w:rPr>
        <w:t xml:space="preserve"> печени); Класс IIa, уровень B (цирроз печени)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лечения наивный пациентов с генотипом HCV 1b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paritaprevir (150 мг) / ритонавир (100 мг) / ombitasvir (25 мг) плюс два раза в день дозированного dasabuvir (250 мг) в течение 12 недель рекомендуется для нелеченных больных с генотипом HCV 1b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simeprevir (150 мг) плюс софосбувир (400 мг) в течение 12 недель (без цирроза) или 24 недель с или без веса на основе рибавирина (цирроз) рекомендуется для лечения наивный пациентов с генотипом HCV 1b инфекции.</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xml:space="preserve">* Доза daclatasvir, возможно, потребуется увеличить или уменьшить при использовании одновременно с цитохрома P450 3A / 4 индукторов и ингибиторов, соответственно. Пожалуйста, обратитесь к предписывающее информации и разделе </w:t>
      </w:r>
      <w:hyperlink r:id="rId27" w:history="1">
        <w:r w:rsidRPr="00C57BC1">
          <w:rPr>
            <w:rFonts w:ascii="Times New Roman" w:eastAsia="Times New Roman" w:hAnsi="Times New Roman" w:cs="Times New Roman"/>
            <w:b/>
            <w:bCs/>
            <w:color w:val="0000FF"/>
            <w:sz w:val="24"/>
            <w:szCs w:val="24"/>
            <w:u w:val="single"/>
            <w:lang w:eastAsia="ru-RU"/>
          </w:rPr>
          <w:t>сочетанной ВИЧ / ВГС</w:t>
        </w:r>
      </w:hyperlink>
      <w:r w:rsidRPr="00C57BC1">
        <w:rPr>
          <w:rFonts w:ascii="Times New Roman" w:eastAsia="Times New Roman" w:hAnsi="Times New Roman" w:cs="Times New Roman"/>
          <w:color w:val="000000"/>
          <w:sz w:val="24"/>
          <w:szCs w:val="24"/>
          <w:lang w:eastAsia="ru-RU"/>
        </w:rPr>
        <w:t xml:space="preserve"> пациентов на антиретровирусной терапии.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Для 1b-инфицированных, лечение наивный пациентов с генотипом HCV, есть 4 схемы сопоставимой эффективности, как описано выше.</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Там нет измеримое различие продемонстрировали на сегодняшний день в ответ на лечение, чтобы daclatasvir и софосбувир или ledipasvir / софосбувир для генотипов ВГС 1 подтипов, при этом подтверждающие доказательства остается такой же, как для ВГС генотипа 1а-инфицированных пациентов (см </w:t>
      </w:r>
      <w:hyperlink r:id="rId28" w:anchor="genotype1" w:history="1">
        <w:r w:rsidRPr="00C57BC1">
          <w:rPr>
            <w:rFonts w:ascii="Times New Roman" w:eastAsia="Times New Roman" w:hAnsi="Times New Roman" w:cs="Times New Roman"/>
            <w:b/>
            <w:bCs/>
            <w:color w:val="0000FF"/>
            <w:sz w:val="24"/>
            <w:szCs w:val="24"/>
            <w:u w:val="single"/>
            <w:lang w:eastAsia="ru-RU"/>
          </w:rPr>
          <w:t xml:space="preserve">генотипа </w:t>
        </w:r>
      </w:hyperlink>
      <w:r w:rsidRPr="00C57BC1">
        <w:rPr>
          <w:rFonts w:ascii="Times New Roman" w:eastAsia="Times New Roman" w:hAnsi="Times New Roman" w:cs="Times New Roman"/>
          <w:sz w:val="24"/>
          <w:szCs w:val="24"/>
          <w:lang w:eastAsia="ru-RU"/>
        </w:rPr>
        <w:t>1). В союзник-2 кронштейна daclatasvir и софосбувир в течение 12 недель у пациентов лечение наивный, только 12 были генотип 1b и все достигнутые SVR12. (Wyles, 2015) Кроме того, в исследовании союзник-1 все 11 генотип 1b инфицированных пациентов с циррозом расширенный достигнутого SVR12. Из-за ограниченного числа генотипа 1b пациентов, представленных в фазе 3 испытаний этого режима, нет достаточно доказательств, чтобы поддержать другого подхода подтипа в это время.</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Prod (плюс рибавирин для тех, с циррозом печени) был одобрен FDA для лечения генотипом 1b инфекции у больных леченных на основе 3 регистрационных испытаний: САПФИР-я (151 лечебно-наивно пациентов с генотипом 1b и без цирроза) </w:t>
      </w:r>
      <w:proofErr w:type="gramStart"/>
      <w:r w:rsidRPr="00C57BC1">
        <w:rPr>
          <w:rFonts w:ascii="Times New Roman" w:eastAsia="Times New Roman" w:hAnsi="Times New Roman" w:cs="Times New Roman"/>
          <w:sz w:val="24"/>
          <w:szCs w:val="24"/>
          <w:lang w:eastAsia="ru-RU"/>
        </w:rPr>
        <w:t>ЖЕМЧУЖИНА,-</w:t>
      </w:r>
      <w:proofErr w:type="gramEnd"/>
      <w:r w:rsidRPr="00C57BC1">
        <w:rPr>
          <w:rFonts w:ascii="Times New Roman" w:eastAsia="Times New Roman" w:hAnsi="Times New Roman" w:cs="Times New Roman"/>
          <w:sz w:val="24"/>
          <w:szCs w:val="24"/>
          <w:lang w:eastAsia="ru-RU"/>
        </w:rPr>
        <w:t xml:space="preserve">III (419 лечебно-наивно пациентов, все с генотипом 1b и без цирроза), и бирюзово-II (119 лечебно-наивные и -experienced пациентов с генотипом 1b с циррозом). САПФИР-я сообщил высокую скорость SVR12 (98%) с 12 недель Prod и рибавирина у пациентов с генотипом 1b. (Фельд 2014) Учитывая высокие темпы SVR12 видели в SAPPHIRE-I, III ЖЕМЧУЖИНА-был специально разработан, чтобы определить роль веса на основе рибавирина с Prod в лечебно-наивным пациентов с генотипом 1b без цирроза. (Ferenci 2014) ставка SVR12 составила 99% в обеих группах, подтверждая, что нет Дополнительным преимуществом от использования веса на основе рибавирина для пациентов без цирроза, у которых генотип 1b HCV-инфекции. БИРЮЗА-II поступил лечение наивный и -experienced пациентов с классом CTP цирроз получить либо 12 недель или 24 недель лечения с рибавирином Prod и. В целом, темпы SVR12 были 98,5% в 12-недельного руку и на 100% в 24-недельного руку. (Poordad 2014) Для удовлетворения потребности в рибавирином с этой схемой у пациентов с генотипом 1b и цирроза, исследование БИРЮЗА-III оценить безопасность и эффективность Prod без рибавирина в течение 12 недель у пациентов с инфекцией генотипа ВГС 1b и компенсированным </w:t>
      </w:r>
      <w:proofErr w:type="gramStart"/>
      <w:r w:rsidRPr="00C57BC1">
        <w:rPr>
          <w:rFonts w:ascii="Times New Roman" w:eastAsia="Times New Roman" w:hAnsi="Times New Roman" w:cs="Times New Roman"/>
          <w:sz w:val="24"/>
          <w:szCs w:val="24"/>
          <w:lang w:eastAsia="ru-RU"/>
        </w:rPr>
        <w:t>циррозом ,</w:t>
      </w:r>
      <w:proofErr w:type="gramEnd"/>
      <w:r w:rsidRPr="00C57BC1">
        <w:rPr>
          <w:rFonts w:ascii="Times New Roman" w:eastAsia="Times New Roman" w:hAnsi="Times New Roman" w:cs="Times New Roman"/>
          <w:sz w:val="24"/>
          <w:szCs w:val="24"/>
          <w:lang w:eastAsia="ru-RU"/>
        </w:rPr>
        <w:t xml:space="preserve"> Шестьдесят пациентов (62% мужчин, 55% лечение опытные, 83% с IL28B без CC генотипа, 22% с количеством тромбоцитов &lt;90 х 10 </w:t>
      </w:r>
      <w:r w:rsidRPr="00C57BC1">
        <w:rPr>
          <w:rFonts w:ascii="Times New Roman" w:eastAsia="Times New Roman" w:hAnsi="Times New Roman" w:cs="Times New Roman"/>
          <w:sz w:val="24"/>
          <w:szCs w:val="24"/>
          <w:vertAlign w:val="superscript"/>
          <w:lang w:eastAsia="ru-RU"/>
        </w:rPr>
        <w:t>9</w:t>
      </w:r>
      <w:r w:rsidRPr="00C57BC1">
        <w:rPr>
          <w:rFonts w:ascii="Times New Roman" w:eastAsia="Times New Roman" w:hAnsi="Times New Roman" w:cs="Times New Roman"/>
          <w:sz w:val="24"/>
          <w:szCs w:val="24"/>
          <w:lang w:eastAsia="ru-RU"/>
        </w:rPr>
        <w:t xml:space="preserve"> были зачислены / л, и 17% с уровня альбумина &lt;3,5 г / дл). Все пациенты завершили лечение, и все пациенты достигли SVR12. На основании этого исследования, лечения больных с генотипом 1b с Prod, но без рибавирина рекомендуется, независимо от предшествующего опыта лечения или наличии цирроза. (Фельд, 2015)</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На сегодняшний день, нет ощутимой разницей продемонстрировал в ответ обращению в simeprevir плюс софосбувир для генотипа ВГС 1 подтипа (за исключением пациентов с генотипом 1а с циррозом печени, также имеют мутации базовый Q80K), таким образом, поддерживая доказательства остается такой же, как для генотипа вируса 1a-инфицированных пациентов (см </w:t>
      </w:r>
      <w:hyperlink r:id="rId29" w:anchor="genotype1" w:history="1">
        <w:r w:rsidRPr="00C57BC1">
          <w:rPr>
            <w:rFonts w:ascii="Times New Roman" w:eastAsia="Times New Roman" w:hAnsi="Times New Roman" w:cs="Times New Roman"/>
            <w:b/>
            <w:bCs/>
            <w:color w:val="0000FF"/>
            <w:sz w:val="24"/>
            <w:szCs w:val="24"/>
            <w:u w:val="single"/>
            <w:lang w:eastAsia="ru-RU"/>
          </w:rPr>
          <w:t xml:space="preserve">генотипа </w:t>
        </w:r>
      </w:hyperlink>
      <w:r w:rsidRPr="00C57BC1">
        <w:rPr>
          <w:rFonts w:ascii="Times New Roman" w:eastAsia="Times New Roman" w:hAnsi="Times New Roman" w:cs="Times New Roman"/>
          <w:sz w:val="24"/>
          <w:szCs w:val="24"/>
          <w:lang w:eastAsia="ru-RU"/>
        </w:rPr>
        <w:t>1).</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Профили безопасности на сегодняшний день всех рекомендованных режимов выше отлично. Через многочисленные фазы программы III, менее 1% пациентов без цирроза прекратили лечение раннего и побочных эффектов были слабо. Большинство неблагоприятные события произошли в рибавирином, содержащих оружия. Прекращение ставки были выше для пациентов с циррозом печени (примерно 2% для некоторых испытаний), но по-прежнему очень низкий.</w:t>
      </w:r>
    </w:p>
    <w:p w:rsidR="00C57BC1" w:rsidRPr="00C57BC1" w:rsidRDefault="00C57BC1" w:rsidP="00C57BC1">
      <w:pPr>
        <w:shd w:val="clear" w:color="auto" w:fill="F4E5E5"/>
        <w:spacing w:after="12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i/>
          <w:iCs/>
          <w:color w:val="000000"/>
          <w:sz w:val="26"/>
          <w:szCs w:val="26"/>
          <w:lang w:eastAsia="ru-RU"/>
        </w:rPr>
        <w:t>Следующие схемы НЕ рекомендуется для лечения больных наивно с генотипом 1. *</w:t>
      </w:r>
    </w:p>
    <w:p w:rsidR="00C57BC1" w:rsidRPr="00C57BC1" w:rsidRDefault="00C57BC1" w:rsidP="00C57BC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Ежедневно софосбувир (400 мг) и на основе веса рибавирин в течение 24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ПЭГ-ИФН и рибавирином или без софосбувир, simeprevir, телапревира или боцепревир для 12 недель до 48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1"/>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shd w:val="clear" w:color="auto" w:fill="F4E5E5"/>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xml:space="preserve">* См разделы по </w:t>
      </w:r>
      <w:hyperlink r:id="rId30" w:history="1">
        <w:r w:rsidRPr="00C57BC1">
          <w:rPr>
            <w:rFonts w:ascii="Times New Roman" w:eastAsia="Times New Roman" w:hAnsi="Times New Roman" w:cs="Times New Roman"/>
            <w:color w:val="0000FF"/>
            <w:sz w:val="24"/>
            <w:szCs w:val="24"/>
            <w:u w:val="single"/>
            <w:lang w:eastAsia="ru-RU"/>
          </w:rPr>
          <w:t xml:space="preserve">ко-инфекции ВИЧ / </w:t>
        </w:r>
      </w:hyperlink>
      <w:r w:rsidRPr="00C57BC1">
        <w:rPr>
          <w:rFonts w:ascii="Times New Roman" w:eastAsia="Times New Roman" w:hAnsi="Times New Roman" w:cs="Times New Roman"/>
          <w:color w:val="000000"/>
          <w:sz w:val="24"/>
          <w:szCs w:val="24"/>
          <w:lang w:eastAsia="ru-RU"/>
        </w:rPr>
        <w:t xml:space="preserve">ВГС, </w:t>
      </w:r>
      <w:hyperlink r:id="rId31" w:history="1">
        <w:r w:rsidRPr="00C57BC1">
          <w:rPr>
            <w:rFonts w:ascii="Times New Roman" w:eastAsia="Times New Roman" w:hAnsi="Times New Roman" w:cs="Times New Roman"/>
            <w:color w:val="0000FF"/>
            <w:sz w:val="24"/>
            <w:szCs w:val="24"/>
            <w:u w:val="single"/>
            <w:lang w:eastAsia="ru-RU"/>
          </w:rPr>
          <w:t xml:space="preserve">декомпенсированным </w:t>
        </w:r>
      </w:hyperlink>
      <w:r w:rsidRPr="00C57BC1">
        <w:rPr>
          <w:rFonts w:ascii="Times New Roman" w:eastAsia="Times New Roman" w:hAnsi="Times New Roman" w:cs="Times New Roman"/>
          <w:color w:val="000000"/>
          <w:sz w:val="24"/>
          <w:szCs w:val="24"/>
          <w:lang w:eastAsia="ru-RU"/>
        </w:rPr>
        <w:t xml:space="preserve">циррозом, </w:t>
      </w:r>
      <w:hyperlink r:id="rId32" w:history="1">
        <w:r w:rsidRPr="00C57BC1">
          <w:rPr>
            <w:rFonts w:ascii="Times New Roman" w:eastAsia="Times New Roman" w:hAnsi="Times New Roman" w:cs="Times New Roman"/>
            <w:color w:val="0000FF"/>
            <w:sz w:val="24"/>
            <w:szCs w:val="24"/>
            <w:u w:val="single"/>
            <w:lang w:eastAsia="ru-RU"/>
          </w:rPr>
          <w:t>трансплантации печени</w:t>
        </w:r>
      </w:hyperlink>
      <w:r w:rsidRPr="00C57BC1">
        <w:rPr>
          <w:rFonts w:ascii="Times New Roman" w:eastAsia="Times New Roman" w:hAnsi="Times New Roman" w:cs="Times New Roman"/>
          <w:color w:val="000000"/>
          <w:sz w:val="24"/>
          <w:szCs w:val="24"/>
          <w:lang w:eastAsia="ru-RU"/>
        </w:rPr>
        <w:t xml:space="preserve"> и </w:t>
      </w:r>
      <w:hyperlink r:id="rId33" w:history="1">
        <w:r w:rsidRPr="00C57BC1">
          <w:rPr>
            <w:rFonts w:ascii="Times New Roman" w:eastAsia="Times New Roman" w:hAnsi="Times New Roman" w:cs="Times New Roman"/>
            <w:color w:val="0000FF"/>
            <w:sz w:val="24"/>
            <w:szCs w:val="24"/>
            <w:u w:val="single"/>
            <w:lang w:eastAsia="ru-RU"/>
          </w:rPr>
          <w:t xml:space="preserve">почек </w:t>
        </w:r>
      </w:hyperlink>
      <w:r w:rsidRPr="00C57BC1">
        <w:rPr>
          <w:rFonts w:ascii="Times New Roman" w:eastAsia="Times New Roman" w:hAnsi="Times New Roman" w:cs="Times New Roman"/>
          <w:color w:val="000000"/>
          <w:sz w:val="24"/>
          <w:szCs w:val="24"/>
          <w:lang w:eastAsia="ru-RU"/>
        </w:rPr>
        <w:t>обесценения.</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Хотя схемы на софосбувир и рибавирином или ПЭГ-ИФН и рибавирина плюс софосбувир, simeprevir, телапревира или боцепревир в течение 12 недель до 48 недель (некоторые с помощью ответа наведением терапии) также FDA одобрен, они уступают текущих рекомендуемых схем. Большинство ИФН-содержащих препаратов связаны с более высокими показателями серьезных побочных эффектов (например, анемии и сыпь), более длительный срок лечения, высоким бременем таблеток, многочисленные лекарственные взаимодействия, чаще дозирования, высокой интенсивности мониторинга для продолжения и остановки терапии, и требование принимать с пищей или с высоким содержанием жира еды. Хотя нейтрино испытание III фазы сообщил высокий уровень УВО (89%) для ИФН-содержащий режим (софосбувир [400 мг в день]) в сочетании с ПЭГ-ИФН 2а (180 мкг в виде подкожных инъекций в неделю) и веса на основе рибавирина в 1 генотипом ВГС инфекции и ограниченный контакт с IFN в 12 недель, безопасность и переносимость ограничивает свою полезность в обстановке FDA утвержденных, высоко эффективных комбинаций оральных DAA. (Lawitz, 2013a)</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ПЭГ-ИФН и рибавирином в течение 48 недель для лечения больных, инфицированных наивно с генотипом 1 был заменен лечения, включающих Daas и не должны использоваться.</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8" w:name="genotype2"/>
      <w:bookmarkEnd w:id="8"/>
      <w:r w:rsidRPr="00C57BC1">
        <w:rPr>
          <w:rFonts w:ascii="Times New Roman" w:eastAsia="Times New Roman" w:hAnsi="Times New Roman" w:cs="Times New Roman"/>
          <w:b/>
          <w:bCs/>
          <w:color w:val="638B7D"/>
          <w:sz w:val="31"/>
          <w:szCs w:val="31"/>
          <w:lang w:eastAsia="ru-RU"/>
        </w:rPr>
        <w:t>II. Генотип 2</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Рекомендуемая схема для пациентов лечение наивный с ВГС генотипа 2 инфекции.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 xml:space="preserve">Ежедневно daclatasvir (60 мг *) и софосбувир (400 мг) в течение 12 недель рекомендуется для лечения больных с наивным Генотип ВГС 2 инфекции, которые не могут терпеть рибавирином. </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IIa, уровень B</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в течение 12 недель рекомендуется для лечения больных с наивным Генотип ВГС 2 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Расширение лечения до 16 недель рекомендовано пациентам с циррозом печени.</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С</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xml:space="preserve">* Доза daclatasvir, возможно, потребуется увеличить или уменьшить при использовании одновременно с цитохрома P450 3A / 4 индукторов и ингибиторов, соответственно. Пожалуйста, обратитесь к предписывающее информации и разделе </w:t>
      </w:r>
      <w:hyperlink r:id="rId34" w:history="1">
        <w:r w:rsidRPr="00C57BC1">
          <w:rPr>
            <w:rFonts w:ascii="Times New Roman" w:eastAsia="Times New Roman" w:hAnsi="Times New Roman" w:cs="Times New Roman"/>
            <w:b/>
            <w:bCs/>
            <w:color w:val="0000FF"/>
            <w:sz w:val="24"/>
            <w:szCs w:val="24"/>
            <w:u w:val="single"/>
            <w:lang w:eastAsia="ru-RU"/>
          </w:rPr>
          <w:t>сочетанной ВИЧ / ВГС</w:t>
        </w:r>
      </w:hyperlink>
      <w:r w:rsidRPr="00C57BC1">
        <w:rPr>
          <w:rFonts w:ascii="Times New Roman" w:eastAsia="Times New Roman" w:hAnsi="Times New Roman" w:cs="Times New Roman"/>
          <w:color w:val="000000"/>
          <w:sz w:val="24"/>
          <w:szCs w:val="24"/>
          <w:lang w:eastAsia="ru-RU"/>
        </w:rPr>
        <w:t xml:space="preserve"> пациентов на antiretoviral терапии.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Daclatasvir с софосбувир в течение 12 недель был одобрен FDA для лечения ВГС генотипа 3-инфекции у пациентов без цирроза и с. Хотя daclatasvir с софосбувир не был одобрен для лечения Генотип ВГС 2 инфекции, daclatasvir поддерживает адекватную активность против HCV генотипа 2, несмотря на 50% эффективной концентрации (EC </w:t>
      </w:r>
      <w:r w:rsidRPr="00C57BC1">
        <w:rPr>
          <w:rFonts w:ascii="Times New Roman" w:eastAsia="Times New Roman" w:hAnsi="Times New Roman" w:cs="Times New Roman"/>
          <w:sz w:val="24"/>
          <w:szCs w:val="24"/>
          <w:vertAlign w:val="subscript"/>
          <w:lang w:eastAsia="ru-RU"/>
        </w:rPr>
        <w:t xml:space="preserve">50), что увеличивает в несколько журналов в наличии распространенного M31 полиморфизма. </w:t>
      </w:r>
      <w:r w:rsidRPr="00C57BC1">
        <w:rPr>
          <w:rFonts w:ascii="Times New Roman" w:eastAsia="Times New Roman" w:hAnsi="Times New Roman" w:cs="Times New Roman"/>
          <w:sz w:val="24"/>
          <w:szCs w:val="24"/>
          <w:lang w:eastAsia="ru-RU"/>
        </w:rPr>
        <w:t>(Ван 2014) На самом деле, daclatasvir с софосбувир было связано с высокими темпами СВР в лечении пациентов с наивным Генотип ВГС 2 инфекции с обеих 12 недель и 24 недель терапии. (Wyles, 2015); (Сулковский 2014) Неясно, если есть подгруппа генотип ВГС 2-инфицированных пациентов, которые выиграют от расширения лечения до 24 недель. Для пациентов, которые нуждаются в лечении, но не может терпеть рибавирином, альтернативный режим в daclatasvir с софосбувир в течение 12 недель рекомендуется и рассмотрение продления лечения до 24 недель у пациентов с бедных исходных характеристик (цирроз) является разумным.</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Софосбувир (400 мг в день) был объединен с веса на основе рибавирина для пациентов лечение наивный с генотипом 2 инфекции в 3 клинических испытаний, каждое из которых, обучающихся пациентов с генотипом 2 или 3: деление, позитрон и валентности. (Lawitz, 2013a); (Якобсон, 2013c); (Zeuzem, 2013c) Изучение ДЕЛЕНИЕ рандомизированных пациентов, чтобы ежедневно получать PEG-IFN и рибавирином (800 мг) в течение 24 недель или софосбувир плюс ежедневно веса на основе рибавирина в течение 12 недель. (Lawitz, 2013a) Частота УВО была выше (94%) у пациентов, получавших софосбувир и рибавирином, чем у тех, кто получил PEG-IFN и рибавирином (78%; 52/67). Во всех 3 исследованиях, 201 из 214 (94%) пациентов с генотипом 2 достигнут УВО с софосбувир и рибавирином. Среди пациентов, которые не достигли УВО, софосбувир сопротивления ассоциированных варианты (RAVs) не были обнаружены. (FDA США, </w:t>
      </w:r>
      <w:hyperlink r:id="rId35" w:anchor="usfda2013a" w:history="1">
        <w:r w:rsidRPr="00C57BC1">
          <w:rPr>
            <w:rFonts w:ascii="Times New Roman" w:eastAsia="Times New Roman" w:hAnsi="Times New Roman" w:cs="Times New Roman"/>
            <w:color w:val="0000FF"/>
            <w:sz w:val="24"/>
            <w:szCs w:val="24"/>
            <w:u w:val="single"/>
            <w:lang w:eastAsia="ru-RU"/>
          </w:rPr>
          <w:t xml:space="preserve">2013a) на основе реальных данных из трио здравоохранения, более низкие ставки реагирования были замечены в лечение наивный пациентов с циррозом печени, чем в тех, без цирроза. </w:t>
        </w:r>
      </w:hyperlink>
      <w:r w:rsidRPr="00C57BC1">
        <w:rPr>
          <w:rFonts w:ascii="Times New Roman" w:eastAsia="Times New Roman" w:hAnsi="Times New Roman" w:cs="Times New Roman"/>
          <w:sz w:val="24"/>
          <w:szCs w:val="24"/>
          <w:lang w:eastAsia="ru-RU"/>
        </w:rPr>
        <w:t>(Дитрих, 2014A) Хотя данные, чтобы поддержать расширение терапии еще не доступны для пациентов лечение наивный с ВГС генотипа 2 инфекции, больше продолжительность лечения улучшает УВО в опыт лечения больных с циррозом печени. (Якобсон, 2013c); (Фостер, 2015) В связи с небольшим количеством пациентов с генотипом HCV, 2 инфекции и цирроза поступил в испытаниях регистрация, несколько фаз исследования IIIb продолжаются специально определить соответствующий продолжительность лечения для этой подгруппы пациентов (NCT01962441, NCT 02128542</w:t>
      </w:r>
      <w:proofErr w:type="gramStart"/>
      <w:r w:rsidRPr="00C57BC1">
        <w:rPr>
          <w:rFonts w:ascii="Times New Roman" w:eastAsia="Times New Roman" w:hAnsi="Times New Roman" w:cs="Times New Roman"/>
          <w:sz w:val="24"/>
          <w:szCs w:val="24"/>
          <w:lang w:eastAsia="ru-RU"/>
        </w:rPr>
        <w:t>) ,</w:t>
      </w:r>
      <w:proofErr w:type="gramEnd"/>
      <w:r w:rsidRPr="00C57BC1">
        <w:rPr>
          <w:rFonts w:ascii="Times New Roman" w:eastAsia="Times New Roman" w:hAnsi="Times New Roman" w:cs="Times New Roman"/>
          <w:sz w:val="24"/>
          <w:szCs w:val="24"/>
          <w:lang w:eastAsia="ru-RU"/>
        </w:rPr>
        <w:t xml:space="preserve"> Пока эти данные не доступны, расширяя лечение от 12 недель до 16 недель в генотип ВГС 2-инфицированных пациентов с циррозом </w:t>
      </w:r>
      <w:r w:rsidRPr="00C57BC1">
        <w:rPr>
          <w:rFonts w:ascii="Times New Roman" w:eastAsia="Times New Roman" w:hAnsi="Times New Roman" w:cs="Times New Roman"/>
          <w:b/>
          <w:bCs/>
          <w:sz w:val="24"/>
          <w:szCs w:val="24"/>
          <w:lang w:eastAsia="ru-RU"/>
        </w:rPr>
        <w:t>рекомендуется.</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Альтернативные схемы лечения наивный пациентов с генотипом HCV-инфекции. 2</w:t>
      </w:r>
    </w:p>
    <w:p w:rsidR="00C57BC1" w:rsidRPr="00C57BC1" w:rsidRDefault="00C57BC1" w:rsidP="00C57BC1">
      <w:pPr>
        <w:shd w:val="clear" w:color="auto" w:fill="FFFAF6"/>
        <w:spacing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Ни одной.</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Несколько других доступных Daas обладают активностью в естественных условиях </w:t>
      </w:r>
      <w:proofErr w:type="gramStart"/>
      <w:r w:rsidRPr="00C57BC1">
        <w:rPr>
          <w:rFonts w:ascii="Times New Roman" w:eastAsia="Times New Roman" w:hAnsi="Times New Roman" w:cs="Times New Roman"/>
          <w:sz w:val="24"/>
          <w:szCs w:val="24"/>
          <w:lang w:eastAsia="ru-RU"/>
        </w:rPr>
        <w:t>против генотипом</w:t>
      </w:r>
      <w:proofErr w:type="gramEnd"/>
      <w:r w:rsidRPr="00C57BC1">
        <w:rPr>
          <w:rFonts w:ascii="Times New Roman" w:eastAsia="Times New Roman" w:hAnsi="Times New Roman" w:cs="Times New Roman"/>
          <w:sz w:val="24"/>
          <w:szCs w:val="24"/>
          <w:lang w:eastAsia="ru-RU"/>
        </w:rPr>
        <w:t xml:space="preserve"> 2. Simeprevir имеет умеренную активность против HCV генотипа 2, но официально не были испытаны в сочетании с софосбувир в генотипом 2 инфекции. (Морено 2012)</w:t>
      </w:r>
    </w:p>
    <w:p w:rsidR="00C57BC1" w:rsidRPr="00C57BC1" w:rsidRDefault="00C57BC1" w:rsidP="00C57BC1">
      <w:pPr>
        <w:shd w:val="clear" w:color="auto" w:fill="F4E5E5"/>
        <w:spacing w:after="12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i/>
          <w:iCs/>
          <w:color w:val="000000"/>
          <w:sz w:val="26"/>
          <w:szCs w:val="26"/>
          <w:lang w:eastAsia="ru-RU"/>
        </w:rPr>
        <w:t>Следующие схемы НЕ рекомендуется для лечения больных наивно с генотипом 2.</w:t>
      </w:r>
    </w:p>
    <w:p w:rsidR="00C57BC1" w:rsidRPr="00C57BC1" w:rsidRDefault="00C57BC1" w:rsidP="00C57BC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ПЭГ-ИФН и рибавирином в течение 24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numPr>
          <w:ilvl w:val="0"/>
          <w:numId w:val="2"/>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Telaprevir-, boceprevir- или ledipasvir-содержащих препаратов</w:t>
      </w:r>
    </w:p>
    <w:p w:rsidR="00C57BC1" w:rsidRPr="00C57BC1" w:rsidRDefault="00C57BC1" w:rsidP="00C57BC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spacing w:after="0"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p w:rsidR="00C57BC1" w:rsidRPr="00C57BC1" w:rsidRDefault="00C57BC1" w:rsidP="00C57BC1">
      <w:pPr>
        <w:spacing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ПЭГ-ИФН 2а (180 мкг в неделю) или ПЭГ-ИФН 2b (1,5 мкг / кг в неделю) плюс рибавирин (800 мг в день) в течение 24 недель, по сравнению с софосбувир (400 мг ежедневно) плюс масса на основе рибавирина в суде деления. (Lawitz, 2013a) Скорость SVR12 достигается с ПЭГ-ИФН и рибавирина была ниже, чем достигается с софосбувир и рибавирина в целом (78% и 95%, соответственно), а в подгруппах пациентов с циррозом печени или без. Безопасность и переносимость ПЭГ-ИФН и рибавирина уступал тому, что наблюдается с софосбувир и рибавирином, с большей частотой сообщенных побочных эффектов и лабораторных аномалий и высокой скоростью прекращения лечения вследствие неблагоприятных событий. Кроме того, терапия с ПЭГ-ИФН и рибавирина составляет 12 недель дольше, чем при софосбувир и рибавирином.</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Из-за его плохой деятельности в пробирке и в естественных условиях, боцепревир не должны использоваться в качестве терапии для пациентов с ВГС генотипа 2 инфекции. Хотя телапревир плюс ПЭГ-ИФН и рибавирином обладает противовирусной активностью против HCV генотипа 2, </w:t>
      </w:r>
      <w:hyperlink r:id="rId36" w:anchor="foster2011" w:history="1">
        <w:r w:rsidRPr="00C57BC1">
          <w:rPr>
            <w:rFonts w:ascii="Times New Roman" w:eastAsia="Times New Roman" w:hAnsi="Times New Roman" w:cs="Times New Roman"/>
            <w:color w:val="0000FF"/>
            <w:sz w:val="24"/>
            <w:szCs w:val="24"/>
            <w:u w:val="single"/>
            <w:lang w:eastAsia="ru-RU"/>
          </w:rPr>
          <w:t>(Foster</w:t>
        </w:r>
      </w:hyperlink>
      <w:r w:rsidRPr="00C57BC1">
        <w:rPr>
          <w:rFonts w:ascii="Times New Roman" w:eastAsia="Times New Roman" w:hAnsi="Times New Roman" w:cs="Times New Roman"/>
          <w:sz w:val="24"/>
          <w:szCs w:val="24"/>
          <w:lang w:eastAsia="ru-RU"/>
        </w:rPr>
        <w:t xml:space="preserve"> </w:t>
      </w:r>
      <w:hyperlink r:id="rId37" w:anchor="foster2011" w:history="1">
        <w:r w:rsidRPr="00C57BC1">
          <w:rPr>
            <w:rFonts w:ascii="Times New Roman" w:eastAsia="Times New Roman" w:hAnsi="Times New Roman" w:cs="Times New Roman"/>
            <w:color w:val="0000FF"/>
            <w:sz w:val="24"/>
            <w:szCs w:val="24"/>
            <w:u w:val="single"/>
            <w:lang w:eastAsia="ru-RU"/>
          </w:rPr>
          <w:t xml:space="preserve">2011) дополнительных побочных эффектов и большей продолжительности терапии, необходимой не поддерживают использование этого режима. </w:t>
        </w:r>
      </w:hyperlink>
      <w:r w:rsidRPr="00C57BC1">
        <w:rPr>
          <w:rFonts w:ascii="Times New Roman" w:eastAsia="Times New Roman" w:hAnsi="Times New Roman" w:cs="Times New Roman"/>
          <w:sz w:val="24"/>
          <w:szCs w:val="24"/>
          <w:lang w:eastAsia="ru-RU"/>
        </w:rPr>
        <w:t>Аналогичным образом, хотя ledipasvir имеет достаточную активность в отношении генотипа 2 HCV, этот теряется в присутствии широко распространены L31</w:t>
      </w:r>
      <w:proofErr w:type="gramStart"/>
      <w:r w:rsidRPr="00C57BC1">
        <w:rPr>
          <w:rFonts w:ascii="Times New Roman" w:eastAsia="Times New Roman" w:hAnsi="Times New Roman" w:cs="Times New Roman"/>
          <w:sz w:val="24"/>
          <w:szCs w:val="24"/>
          <w:lang w:eastAsia="ru-RU"/>
        </w:rPr>
        <w:t xml:space="preserve">M </w:t>
      </w:r>
      <w:r w:rsidRPr="00C57BC1">
        <w:rPr>
          <w:rFonts w:ascii="Times New Roman" w:eastAsia="Times New Roman" w:hAnsi="Times New Roman" w:cs="Times New Roman"/>
          <w:b/>
          <w:bCs/>
          <w:sz w:val="24"/>
          <w:szCs w:val="24"/>
          <w:lang w:eastAsia="ru-RU"/>
        </w:rPr>
        <w:t> </w:t>
      </w:r>
      <w:r w:rsidRPr="00C57BC1">
        <w:rPr>
          <w:rFonts w:ascii="Times New Roman" w:eastAsia="Times New Roman" w:hAnsi="Times New Roman" w:cs="Times New Roman"/>
          <w:sz w:val="24"/>
          <w:szCs w:val="24"/>
          <w:lang w:eastAsia="ru-RU"/>
        </w:rPr>
        <w:t>полиморфизма</w:t>
      </w:r>
      <w:proofErr w:type="gramEnd"/>
      <w:r w:rsidRPr="00C57BC1">
        <w:rPr>
          <w:rFonts w:ascii="Times New Roman" w:eastAsia="Times New Roman" w:hAnsi="Times New Roman" w:cs="Times New Roman"/>
          <w:sz w:val="24"/>
          <w:szCs w:val="24"/>
          <w:lang w:eastAsia="ru-RU"/>
        </w:rPr>
        <w:t xml:space="preserve"> и, таким образом, не рекомендуется для лечения ВГС 2 генотипа инфекции. (Накамото 2014)</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9" w:name="genotype3"/>
      <w:r w:rsidRPr="00C57BC1">
        <w:rPr>
          <w:rFonts w:ascii="Times New Roman" w:eastAsia="Times New Roman" w:hAnsi="Times New Roman" w:cs="Times New Roman"/>
          <w:b/>
          <w:bCs/>
          <w:color w:val="638B7D"/>
          <w:sz w:val="31"/>
          <w:szCs w:val="31"/>
          <w:lang w:eastAsia="ru-RU"/>
        </w:rPr>
        <w:t>III. Генотип 3</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Рекомендуемые схемы лечения наивный пациентов с генотипом HCV-инфекции. 3</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daclatasvir (60 мг *) и софосбувир (400 мг) в течение 12 недель (без цирроза) или 24 недель с или без веса на основе рибавирина (цирроз) рекомендуется для лечения больных с наивным Генотип ВГС 3-инфекции.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 (</w:t>
      </w:r>
      <w:proofErr w:type="gramStart"/>
      <w:r w:rsidRPr="00C57BC1">
        <w:rPr>
          <w:rFonts w:ascii="Times New Roman" w:eastAsia="Times New Roman" w:hAnsi="Times New Roman" w:cs="Times New Roman"/>
          <w:color w:val="000000"/>
          <w:sz w:val="24"/>
          <w:szCs w:val="24"/>
          <w:lang w:eastAsia="ru-RU"/>
        </w:rPr>
        <w:t>без цирроз</w:t>
      </w:r>
      <w:proofErr w:type="gramEnd"/>
      <w:r w:rsidRPr="00C57BC1">
        <w:rPr>
          <w:rFonts w:ascii="Times New Roman" w:eastAsia="Times New Roman" w:hAnsi="Times New Roman" w:cs="Times New Roman"/>
          <w:color w:val="000000"/>
          <w:sz w:val="24"/>
          <w:szCs w:val="24"/>
          <w:lang w:eastAsia="ru-RU"/>
        </w:rPr>
        <w:t xml:space="preserve"> печени); Класс IIa, уровень С (цирроз печени)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 плюс еженедельно ПЭГ-ИФН в течение 12 недель рекомендуется для IFN-право, леченных пациентов с HCV генотипа 3-инфекции.</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hd w:val="clear" w:color="auto" w:fill="FFFAF6"/>
        <w:spacing w:after="0"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color w:val="000000"/>
          <w:sz w:val="24"/>
          <w:szCs w:val="24"/>
          <w:lang w:eastAsia="ru-RU"/>
        </w:rPr>
        <w:t xml:space="preserve">* Доза daclatasvir, возможно, потребуется увеличить или уменьшить при использовании одновременно с цитохрома P450 3A / 4 индукторов и ингибиторов, соответственно. Пожалуйста, обратитесь к предписывающее информации и разделе </w:t>
      </w:r>
      <w:hyperlink r:id="rId38" w:history="1">
        <w:r w:rsidRPr="00C57BC1">
          <w:rPr>
            <w:rFonts w:ascii="Times New Roman" w:eastAsia="Times New Roman" w:hAnsi="Times New Roman" w:cs="Times New Roman"/>
            <w:b/>
            <w:bCs/>
            <w:color w:val="0000FF"/>
            <w:sz w:val="24"/>
            <w:szCs w:val="24"/>
            <w:u w:val="single"/>
            <w:lang w:eastAsia="ru-RU"/>
          </w:rPr>
          <w:t>сочетанной ВИЧ / ВГС</w:t>
        </w:r>
      </w:hyperlink>
      <w:r w:rsidRPr="00C57BC1">
        <w:rPr>
          <w:rFonts w:ascii="Times New Roman" w:eastAsia="Times New Roman" w:hAnsi="Times New Roman" w:cs="Times New Roman"/>
          <w:color w:val="000000"/>
          <w:sz w:val="24"/>
          <w:szCs w:val="24"/>
          <w:lang w:eastAsia="ru-RU"/>
        </w:rPr>
        <w:t xml:space="preserve"> пациентов на antiretoviral терапии.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Daclatasvir с софосбувир в течение 12 недель был одобрен FDA для лечения ВГС генотипа 3-инфекции. Рекомендация основана на СОЮЗНИКА-3, исследования один раз в день daclatasvir ингибитора NS5A плюс софосбувир в течение 12 недель фазы III; исследование включены 101 нелеченных пациентов и продемонстрировал скорость SVR12 90%. В лечебно-наивно пациентов без цирроза (METAVIR F0-F3), 97% достигли SVR12, а в лечебно-наивным пациентов с циррозом печени (F4 METAVIR), 58% достигнутого SVR12. (Нельсон, 2014). Это говорит о том, что пациенты с генотипом 3-инфекции и цирроза, вероятно, чтобы извлечь выгоду из расширения терапии до 24 недель. Это было подтверждено в когортных исследований, в том числе Европейского сострадания использования программы, которая сообщила SVR12 ставки 76% по сравнению с 88% при использовании daclatasvir и софосбувир в течение 12 недель и 24 недель в генотип ВГС 3-инфицированных пациентов с циррозом печени, соответственно. (Hezode, 2015)</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Тройной рука, контролируемое исследование бозон </w:t>
      </w:r>
      <w:hyperlink r:id="rId39" w:anchor="foster2015" w:history="1">
        <w:r w:rsidRPr="00C57BC1">
          <w:rPr>
            <w:rFonts w:ascii="Times New Roman" w:eastAsia="Times New Roman" w:hAnsi="Times New Roman" w:cs="Times New Roman"/>
            <w:color w:val="0000FF"/>
            <w:sz w:val="24"/>
            <w:szCs w:val="24"/>
            <w:u w:val="single"/>
            <w:lang w:eastAsia="ru-RU"/>
          </w:rPr>
          <w:t>(Фостер,</w:t>
        </w:r>
      </w:hyperlink>
      <w:r w:rsidRPr="00C57BC1">
        <w:rPr>
          <w:rFonts w:ascii="Times New Roman" w:eastAsia="Times New Roman" w:hAnsi="Times New Roman" w:cs="Times New Roman"/>
          <w:sz w:val="24"/>
          <w:szCs w:val="24"/>
          <w:lang w:eastAsia="ru-RU"/>
        </w:rPr>
        <w:t xml:space="preserve"> </w:t>
      </w:r>
      <w:hyperlink r:id="rId40" w:anchor="foster2015" w:history="1">
        <w:r w:rsidRPr="00C57BC1">
          <w:rPr>
            <w:rFonts w:ascii="Times New Roman" w:eastAsia="Times New Roman" w:hAnsi="Times New Roman" w:cs="Times New Roman"/>
            <w:color w:val="0000FF"/>
            <w:sz w:val="24"/>
            <w:szCs w:val="24"/>
            <w:u w:val="single"/>
            <w:lang w:eastAsia="ru-RU"/>
          </w:rPr>
          <w:t xml:space="preserve">2015) случайным образом распределены лечение наивный и -experienced пациентов с генотипом HCV-инфекции 3 либо софосбувир и рибавирином в течение 16 недель (п = 196) или 24 недель (N = 199) или софосбувир плюс ПЭГ-ИФН и рибавирином в течение 12 недель (п = 197). </w:t>
        </w:r>
      </w:hyperlink>
      <w:r w:rsidRPr="00C57BC1">
        <w:rPr>
          <w:rFonts w:ascii="Times New Roman" w:eastAsia="Times New Roman" w:hAnsi="Times New Roman" w:cs="Times New Roman"/>
          <w:sz w:val="24"/>
          <w:szCs w:val="24"/>
          <w:lang w:eastAsia="ru-RU"/>
        </w:rPr>
        <w:t>Скорость SVR12 среди пациентов лечение наивный был 77% (70/91), 88% (83/94), и 95% (89/94) для каждой руки, соответственно. Чем больше SVR12 в ИФН, содержащих руки было отмечено, независимо от того, доказательства цирроза с SVR12 ставок 83% (58/70) и 57% (12/21), 90% (65/72) по сравнению с 82% (18/</w:t>
      </w:r>
      <w:proofErr w:type="gramStart"/>
      <w:r w:rsidRPr="00C57BC1">
        <w:rPr>
          <w:rFonts w:ascii="Times New Roman" w:eastAsia="Times New Roman" w:hAnsi="Times New Roman" w:cs="Times New Roman"/>
          <w:sz w:val="24"/>
          <w:szCs w:val="24"/>
          <w:lang w:eastAsia="ru-RU"/>
        </w:rPr>
        <w:t>22 )</w:t>
      </w:r>
      <w:proofErr w:type="gramEnd"/>
      <w:r w:rsidRPr="00C57BC1">
        <w:rPr>
          <w:rFonts w:ascii="Times New Roman" w:eastAsia="Times New Roman" w:hAnsi="Times New Roman" w:cs="Times New Roman"/>
          <w:sz w:val="24"/>
          <w:szCs w:val="24"/>
          <w:lang w:eastAsia="ru-RU"/>
        </w:rPr>
        <w:t xml:space="preserve">, и 96% (68/71) по сравнению с 91% (21/23), для тех, в каждой группе по сравнению с не с циррозом, соответственно. Хотя и режим софосбувир плюс ПЭГ-ИФН и рибавирином имеет более высокие темпы негативных событий и требует увеличения контроля, укороченные 12 недель лечения в сочетании </w:t>
      </w:r>
      <w:proofErr w:type="gramStart"/>
      <w:r w:rsidRPr="00C57BC1">
        <w:rPr>
          <w:rFonts w:ascii="Times New Roman" w:eastAsia="Times New Roman" w:hAnsi="Times New Roman" w:cs="Times New Roman"/>
          <w:sz w:val="24"/>
          <w:szCs w:val="24"/>
          <w:lang w:eastAsia="ru-RU"/>
        </w:rPr>
        <w:t>с превосходными результатами</w:t>
      </w:r>
      <w:proofErr w:type="gramEnd"/>
      <w:r w:rsidRPr="00C57BC1">
        <w:rPr>
          <w:rFonts w:ascii="Times New Roman" w:eastAsia="Times New Roman" w:hAnsi="Times New Roman" w:cs="Times New Roman"/>
          <w:sz w:val="24"/>
          <w:szCs w:val="24"/>
          <w:lang w:eastAsia="ru-RU"/>
        </w:rPr>
        <w:t xml:space="preserve"> не делает это рекомендуемый режим для ИФН-право пациентов, пока превосходными ИФН-Free вариантов определены.</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Альтернативная схема для пациентов лечение наивный с ВГС генотипа 3-инфекции.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в течение 24 недель является альтернативой для пациентов режим лечения наивный с ВГС генотипа 3-инфекции, которые ИФН-несовместимых.</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Исследование валентности, которые включали пациентов с генотипом 2 или 3, оценивали эффективность и безопасность софосбувир (400 мг ежедневно) плюс масса на основе рибавирина в течение 24 недель. Это исследование включало 250 лечебно-наивные (42%) и -experienced (58%) пациентов с ВГС генотипа 3-инфекции. Общий уровень SVR12 был 84%, а была выше среди лечебно-наивным, чем -experienced пациентов (93% против 77%, соответственно). (Zeuzem 2014) Эти результаты показывают, что более высокие темпы реагирования могут быть достигнуты с 24-недельного режима в софосбувир и рибавирином, чем те, сообщалось ВГС генотипа 3-инфицированных участников приема 12- или 16-недельные режимы при делении </w:t>
      </w:r>
      <w:hyperlink r:id="rId41" w:anchor="lawitz2013a" w:history="1">
        <w:r w:rsidRPr="00C57BC1">
          <w:rPr>
            <w:rFonts w:ascii="Times New Roman" w:eastAsia="Times New Roman" w:hAnsi="Times New Roman" w:cs="Times New Roman"/>
            <w:color w:val="0000FF"/>
            <w:sz w:val="24"/>
            <w:szCs w:val="24"/>
            <w:u w:val="single"/>
            <w:lang w:eastAsia="ru-RU"/>
          </w:rPr>
          <w:t xml:space="preserve">(Lawitz, </w:t>
        </w:r>
      </w:hyperlink>
      <w:hyperlink r:id="rId42" w:anchor="lawitz2013a" w:history="1">
        <w:r w:rsidRPr="00C57BC1">
          <w:rPr>
            <w:rFonts w:ascii="Times New Roman" w:eastAsia="Times New Roman" w:hAnsi="Times New Roman" w:cs="Times New Roman"/>
            <w:color w:val="0000FF"/>
            <w:sz w:val="24"/>
            <w:szCs w:val="24"/>
            <w:u w:val="single"/>
            <w:lang w:eastAsia="ru-RU"/>
          </w:rPr>
          <w:t>2013a</w:t>
        </w:r>
      </w:hyperlink>
      <w:r w:rsidRPr="00C57BC1">
        <w:rPr>
          <w:rFonts w:ascii="Times New Roman" w:eastAsia="Times New Roman" w:hAnsi="Times New Roman" w:cs="Times New Roman"/>
          <w:sz w:val="24"/>
          <w:szCs w:val="24"/>
          <w:lang w:eastAsia="ru-RU"/>
        </w:rPr>
        <w:t xml:space="preserve"> ) (12 недель, SVR12 ставка: 63%), позитрон, </w:t>
      </w:r>
      <w:hyperlink r:id="rId43" w:anchor="jacobson2013c" w:history="1">
        <w:r w:rsidRPr="00C57BC1">
          <w:rPr>
            <w:rFonts w:ascii="Times New Roman" w:eastAsia="Times New Roman" w:hAnsi="Times New Roman" w:cs="Times New Roman"/>
            <w:color w:val="0000FF"/>
            <w:sz w:val="24"/>
            <w:szCs w:val="24"/>
            <w:u w:val="single"/>
            <w:lang w:eastAsia="ru-RU"/>
          </w:rPr>
          <w:t>(Якобсон,</w:t>
        </w:r>
      </w:hyperlink>
      <w:r w:rsidRPr="00C57BC1">
        <w:rPr>
          <w:rFonts w:ascii="Times New Roman" w:eastAsia="Times New Roman" w:hAnsi="Times New Roman" w:cs="Times New Roman"/>
          <w:sz w:val="24"/>
          <w:szCs w:val="24"/>
          <w:lang w:eastAsia="ru-RU"/>
        </w:rPr>
        <w:t xml:space="preserve"> </w:t>
      </w:r>
      <w:hyperlink r:id="rId44" w:anchor="jacobson2013c" w:history="1">
        <w:r w:rsidRPr="00C57BC1">
          <w:rPr>
            <w:rFonts w:ascii="Times New Roman" w:eastAsia="Times New Roman" w:hAnsi="Times New Roman" w:cs="Times New Roman"/>
            <w:color w:val="0000FF"/>
            <w:sz w:val="24"/>
            <w:szCs w:val="24"/>
            <w:u w:val="single"/>
            <w:lang w:eastAsia="ru-RU"/>
          </w:rPr>
          <w:t xml:space="preserve">2013c) (12 недель, УВО 12 Скорость: 61%) и Fusion (12 недель, курс SVR12: 30%; 16 недель, курс SVR12: 62% ) испытания. </w:t>
        </w:r>
      </w:hyperlink>
      <w:r w:rsidRPr="00C57BC1">
        <w:rPr>
          <w:rFonts w:ascii="Times New Roman" w:eastAsia="Times New Roman" w:hAnsi="Times New Roman" w:cs="Times New Roman"/>
          <w:sz w:val="24"/>
          <w:szCs w:val="24"/>
          <w:lang w:eastAsia="ru-RU"/>
        </w:rPr>
        <w:t>Основная причина более высокой скорости СВР с расширенной терапии среди пациентов лечение наивный было связано с сокращением частоты рецидивов с 40% до 5%. В субанализе, ответ ставки были так же высок среди тех, кто (п = 45) и без (п = 100) цирроза (92% и 93%, соответственно). Эти данные были подтверждены в рандомизированном контролируемом исследовании бозона, как описано выше. (Фостер, 2015) В исследовании бозона, это 24-недельный режим, имели более низкие цены, чем УВО 12-недельного режима в софосбувир плюс ПЭГ-ИФН и рибавирина в лечении пациентов, наивно, независимо от наличия цирроза. Таким образом, это альтернативный режим для пациентов, которые не могут принимать интерферон.</w:t>
      </w:r>
    </w:p>
    <w:p w:rsidR="00C57BC1" w:rsidRPr="00C57BC1" w:rsidRDefault="00C57BC1" w:rsidP="00C57BC1">
      <w:pPr>
        <w:shd w:val="clear" w:color="auto" w:fill="F4E5E5"/>
        <w:spacing w:after="12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i/>
          <w:iCs/>
          <w:color w:val="000000"/>
          <w:sz w:val="26"/>
          <w:szCs w:val="26"/>
          <w:lang w:eastAsia="ru-RU"/>
        </w:rPr>
        <w:t>Следующие схемы НЕ рекомендуется для лечения больных с наивным Генотип ВГС 3-инфекции.</w:t>
      </w:r>
    </w:p>
    <w:p w:rsidR="00C57BC1" w:rsidRPr="00C57BC1" w:rsidRDefault="00C57BC1" w:rsidP="00C57BC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ПЭГ-ИФН и рибавирином в течение 24 недель до 48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numPr>
          <w:ilvl w:val="0"/>
          <w:numId w:val="3"/>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Telaprevir-, boceprevir- или схемы simeprevir основе не должны использоваться для пациентов с генотипом 3 ВГС.</w:t>
      </w:r>
    </w:p>
    <w:p w:rsidR="00C57BC1" w:rsidRPr="00C57BC1" w:rsidRDefault="00C57BC1" w:rsidP="00C57BC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spacing w:after="0"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p w:rsidR="00C57BC1" w:rsidRPr="00C57BC1" w:rsidRDefault="00C57BC1" w:rsidP="00C57BC1">
      <w:pPr>
        <w:spacing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Хотя комбинация ПЭГ-ИФН и рибавирина является FDA утвержденных препаратов для ВГС генотипа 3-инфекции, ее менее приемлемым профиль неблагоприятное воздействие требует более интенсивного наблюдения и его общая эффективность ниже, делает ее менее желательным, чем рекомендованное режима.</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Из-за их ограниченной в пробирке и в естественных условиях деятельности </w:t>
      </w:r>
      <w:proofErr w:type="gramStart"/>
      <w:r w:rsidRPr="00C57BC1">
        <w:rPr>
          <w:rFonts w:ascii="Times New Roman" w:eastAsia="Times New Roman" w:hAnsi="Times New Roman" w:cs="Times New Roman"/>
          <w:sz w:val="24"/>
          <w:szCs w:val="24"/>
          <w:lang w:eastAsia="ru-RU"/>
        </w:rPr>
        <w:t>против генотипом</w:t>
      </w:r>
      <w:proofErr w:type="gramEnd"/>
      <w:r w:rsidRPr="00C57BC1">
        <w:rPr>
          <w:rFonts w:ascii="Times New Roman" w:eastAsia="Times New Roman" w:hAnsi="Times New Roman" w:cs="Times New Roman"/>
          <w:sz w:val="24"/>
          <w:szCs w:val="24"/>
          <w:lang w:eastAsia="ru-RU"/>
        </w:rPr>
        <w:t xml:space="preserve"> 3, боцепревир, телапревира и simeprevir не должны использоваться в качестве терапии для пациентов с ВГС генотипа 3-инфекции.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Данные Очень ограниченное фазовые II доступны из одного центра исследования (ЭЛЕКТРОН-II), который рассматривается ledipasvir / софосбувир с (п = 26) или без (N = 25) рибавирина в течение 12 недель у пациентов лечение наивный с генотипом 3 </w:t>
      </w:r>
      <w:proofErr w:type="gramStart"/>
      <w:r w:rsidRPr="00C57BC1">
        <w:rPr>
          <w:rFonts w:ascii="Times New Roman" w:eastAsia="Times New Roman" w:hAnsi="Times New Roman" w:cs="Times New Roman"/>
          <w:sz w:val="24"/>
          <w:szCs w:val="24"/>
          <w:lang w:eastAsia="ru-RU"/>
        </w:rPr>
        <w:t>инфекции ,</w:t>
      </w:r>
      <w:proofErr w:type="gramEnd"/>
      <w:r w:rsidRPr="00C57BC1">
        <w:rPr>
          <w:rFonts w:ascii="Times New Roman" w:eastAsia="Times New Roman" w:hAnsi="Times New Roman" w:cs="Times New Roman"/>
          <w:sz w:val="24"/>
          <w:szCs w:val="24"/>
          <w:lang w:eastAsia="ru-RU"/>
        </w:rPr>
        <w:t xml:space="preserve"> 15% из которых имели цирроз. Все 26 (100%) пациентов в рибавирина содержащих рычага достигается SVR12 сравнению с 16 из 25 (64%) из тех, </w:t>
      </w:r>
      <w:proofErr w:type="gramStart"/>
      <w:r w:rsidRPr="00C57BC1">
        <w:rPr>
          <w:rFonts w:ascii="Times New Roman" w:eastAsia="Times New Roman" w:hAnsi="Times New Roman" w:cs="Times New Roman"/>
          <w:sz w:val="24"/>
          <w:szCs w:val="24"/>
          <w:lang w:eastAsia="ru-RU"/>
        </w:rPr>
        <w:t>в рибавирин-свободной рукой</w:t>
      </w:r>
      <w:proofErr w:type="gramEnd"/>
      <w:r w:rsidRPr="00C57BC1">
        <w:rPr>
          <w:rFonts w:ascii="Times New Roman" w:eastAsia="Times New Roman" w:hAnsi="Times New Roman" w:cs="Times New Roman"/>
          <w:sz w:val="24"/>
          <w:szCs w:val="24"/>
          <w:lang w:eastAsia="ru-RU"/>
        </w:rPr>
        <w:t xml:space="preserve">. Хотя эти данные указывают на возможность того, что добавление к ledipasvir софосбувир и рибавирин может сократить курс терапии для лиц с генотипом HCV-инфекции 3, высокий EC </w:t>
      </w:r>
      <w:r w:rsidRPr="00C57BC1">
        <w:rPr>
          <w:rFonts w:ascii="Times New Roman" w:eastAsia="Times New Roman" w:hAnsi="Times New Roman" w:cs="Times New Roman"/>
          <w:sz w:val="24"/>
          <w:szCs w:val="24"/>
          <w:vertAlign w:val="subscript"/>
          <w:lang w:eastAsia="ru-RU"/>
        </w:rPr>
        <w:t>50</w:t>
      </w:r>
      <w:r w:rsidRPr="00C57BC1">
        <w:rPr>
          <w:rFonts w:ascii="Times New Roman" w:eastAsia="Times New Roman" w:hAnsi="Times New Roman" w:cs="Times New Roman"/>
          <w:sz w:val="24"/>
          <w:szCs w:val="24"/>
          <w:lang w:eastAsia="ru-RU"/>
        </w:rPr>
        <w:t xml:space="preserve"> из ledipasvir для Генотип ВГС инфекции 3 </w:t>
      </w:r>
      <w:hyperlink r:id="rId45" w:anchor="wong2013" w:history="1">
        <w:r w:rsidRPr="00C57BC1">
          <w:rPr>
            <w:rFonts w:ascii="Times New Roman" w:eastAsia="Times New Roman" w:hAnsi="Times New Roman" w:cs="Times New Roman"/>
            <w:color w:val="0000FF"/>
            <w:sz w:val="24"/>
            <w:szCs w:val="24"/>
            <w:u w:val="single"/>
            <w:lang w:eastAsia="ru-RU"/>
          </w:rPr>
          <w:t xml:space="preserve">(Wong, </w:t>
        </w:r>
      </w:hyperlink>
      <w:r w:rsidRPr="00C57BC1">
        <w:rPr>
          <w:rFonts w:ascii="Times New Roman" w:eastAsia="Times New Roman" w:hAnsi="Times New Roman" w:cs="Times New Roman"/>
          <w:sz w:val="24"/>
          <w:szCs w:val="24"/>
          <w:lang w:eastAsia="ru-RU"/>
        </w:rPr>
        <w:t>2013); (Колер 2014) и однородная популяция пациентов изучали предел обобщаемость данного исследования. До дальнейшие данные не доступны, чтобы подтвердить эти выводы, рекомендации по использованию этого режима не может быть сделано. (Гейн, 2013b)</w:t>
      </w:r>
    </w:p>
    <w:bookmarkEnd w:id="9"/>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r w:rsidRPr="00C57BC1">
        <w:rPr>
          <w:rFonts w:ascii="Times New Roman" w:eastAsia="Times New Roman" w:hAnsi="Times New Roman" w:cs="Times New Roman"/>
          <w:b/>
          <w:bCs/>
          <w:color w:val="638B7D"/>
          <w:sz w:val="31"/>
          <w:szCs w:val="31"/>
          <w:lang w:eastAsia="ru-RU"/>
        </w:rPr>
        <w:t>Внутривенно Генотип 4</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Три варианта с одинаковой эффективностью в целом рекомендуется для лечения наивный пациентов с генотипом HCV инфекции (4, перечисленных в алфавитном порядке; см текст).</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лечения больных с наивным Генотип ВГС 4-инфекции.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B</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paritaprevir (150 мг) / ритонавир (100 мг) / ombitasvir (25 мг) и веса на основе рибавирина в течение 12 недель рекомендуется для лечения больных с наивным Генотип ВГС 4-инфекции.</w:t>
      </w:r>
    </w:p>
    <w:p w:rsidR="00C57BC1" w:rsidRPr="00C57BC1" w:rsidRDefault="00C57BC1" w:rsidP="00C57BC1">
      <w:pPr>
        <w:shd w:val="clear" w:color="auto" w:fill="FFFAF6"/>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 уровень В</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в течение 24 недель рекомендуется для лечения больных с наивным Генотип ВГС 4-инфекции.</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IIa, уровень B</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Судебный процесс был СИНЕРГИЯ открытое исследование оценки 12 недель ledipasvir / софосбувир в 21 генотипом 4-инфицированных пациентов, из которых 60% были наивны и лечение 43% из них фиброза (F3 METAVIR этап или F4). (Коли, 2015) Один пациент взял первую дозу, а затем отозвали свое согласие. Все 20 пациентов, которые прошли лечение достигла SVR12; Таким образом, скорость SVR12 был 95% </w:t>
      </w:r>
      <w:proofErr w:type="gramStart"/>
      <w:r w:rsidRPr="00C57BC1">
        <w:rPr>
          <w:rFonts w:ascii="Times New Roman" w:eastAsia="Times New Roman" w:hAnsi="Times New Roman" w:cs="Times New Roman"/>
          <w:sz w:val="24"/>
          <w:szCs w:val="24"/>
          <w:lang w:eastAsia="ru-RU"/>
        </w:rPr>
        <w:t>в анализа</w:t>
      </w:r>
      <w:proofErr w:type="gramEnd"/>
      <w:r w:rsidRPr="00C57BC1">
        <w:rPr>
          <w:rFonts w:ascii="Times New Roman" w:eastAsia="Times New Roman" w:hAnsi="Times New Roman" w:cs="Times New Roman"/>
          <w:sz w:val="24"/>
          <w:szCs w:val="24"/>
          <w:lang w:eastAsia="ru-RU"/>
        </w:rPr>
        <w:t xml:space="preserve"> намерения лечить и 100% при анализе в соответствии с протоколом. Абергель и его коллеги представили данные из открытой этикеткой однорукавной исследования в том числе 22 генотипом 4-инфицированных, лечение наивный больных (только 1 с циррозом) с скоростью SVR12 95% (21/22). (Абергель, 2015) Эти 2 экспериментальные исследования поддерживают использование этого режима у пациентов с генотипом 4-инфекции.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ЖЕМЧУЖИНА-я был открытое фазы IIb исследования, которые включали когорту 86 леченных больных с генотипом 4 инфекцией без цирроза, который получил 12 недель ежедневного фиксированной комбинации доз paritaprevir / ритонавир / ombitasvir (Pro) с или без веса на основе рибавирина. Ставки SVR12 были на 100% (42/42) в группе, получавшей рибавирином и 90,9% (40/44) </w:t>
      </w:r>
      <w:proofErr w:type="gramStart"/>
      <w:r w:rsidRPr="00C57BC1">
        <w:rPr>
          <w:rFonts w:ascii="Times New Roman" w:eastAsia="Times New Roman" w:hAnsi="Times New Roman" w:cs="Times New Roman"/>
          <w:sz w:val="24"/>
          <w:szCs w:val="24"/>
          <w:lang w:eastAsia="ru-RU"/>
        </w:rPr>
        <w:t>в группе</w:t>
      </w:r>
      <w:proofErr w:type="gramEnd"/>
      <w:r w:rsidRPr="00C57BC1">
        <w:rPr>
          <w:rFonts w:ascii="Times New Roman" w:eastAsia="Times New Roman" w:hAnsi="Times New Roman" w:cs="Times New Roman"/>
          <w:sz w:val="24"/>
          <w:szCs w:val="24"/>
          <w:lang w:eastAsia="ru-RU"/>
        </w:rPr>
        <w:t xml:space="preserve"> не получающей рибавирина. Побочные эффекты, как правило, мягкая, с головной болью, астенией, усталостью, тошнотой и наиболее часто сообщается. Там не было случаев отмены вследствие неблагоприятных событий. (Hezode, 2015)</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Несколько исследований поддерживают использование софосбувир и рибавирином у больных леченных с ВГС генотипа 4-инфекции. В небольшом исследовании египетских пациентов в Соединенных Штатах, которые были обработаны с софосбувир плюс вес на основе рибавирина, SVR12 был достигнут в 79% (11/14) и 100% (14/14) из этих пациентов лечение наивный, получавших в течение 12 недель и 24 недель, соответственно. (Руане 2014) В исследовании фазы II в Египте, у пациентов с генотипом HCV-инфекция 4 ежедневно получали софосбувир плюс вес на основе рибавирина в течение 12 недель или 24 недель; Среди леченных пациентов ставок SVR12 были 84% (21/25) и 92% (22/24), соответственно. (Досс, 2015) ФОТОН-2, открытый метки исследования / ВГС-инфицированных пациентов с ВИЧ, включены 31 нелеченных пациентов с генотипом HCV-инфекции 4, которые ежедневно получали софосбувир плюс вес основе рибавирина в течение 24 недель. В этом исследовании, 84% пациентов (26/31) достигается SVR12. (Молина, 2015)</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Альтернативная схема для пациентов лечение наивный с ВГС генотипа 4-инфекции.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рибавирина плюс еженедельно ПЭГ-ИФН в течение 12 недель является приемлемым для пациентов режим лечения наивный с ВГС генотипа 4-инфекции.</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 уровень B</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В нейтрино суда фаза III </w:t>
      </w:r>
      <w:hyperlink r:id="rId46" w:anchor="lawitz2013a" w:history="1">
        <w:r w:rsidRPr="00C57BC1">
          <w:rPr>
            <w:rFonts w:ascii="Times New Roman" w:eastAsia="Times New Roman" w:hAnsi="Times New Roman" w:cs="Times New Roman"/>
            <w:color w:val="0000FF"/>
            <w:sz w:val="24"/>
            <w:szCs w:val="24"/>
            <w:u w:val="single"/>
            <w:lang w:eastAsia="ru-RU"/>
          </w:rPr>
          <w:t>(Lawitz,</w:t>
        </w:r>
      </w:hyperlink>
      <w:r w:rsidRPr="00C57BC1">
        <w:rPr>
          <w:rFonts w:ascii="Times New Roman" w:eastAsia="Times New Roman" w:hAnsi="Times New Roman" w:cs="Times New Roman"/>
          <w:sz w:val="24"/>
          <w:szCs w:val="24"/>
          <w:lang w:eastAsia="ru-RU"/>
        </w:rPr>
        <w:t xml:space="preserve"> </w:t>
      </w:r>
      <w:hyperlink r:id="rId47" w:anchor="lawitz2013a" w:history="1">
        <w:r w:rsidRPr="00C57BC1">
          <w:rPr>
            <w:rFonts w:ascii="Times New Roman" w:eastAsia="Times New Roman" w:hAnsi="Times New Roman" w:cs="Times New Roman"/>
            <w:color w:val="0000FF"/>
            <w:sz w:val="24"/>
            <w:szCs w:val="24"/>
            <w:u w:val="single"/>
            <w:lang w:eastAsia="ru-RU"/>
          </w:rPr>
          <w:t xml:space="preserve">2013a) 28 лечебно-наивно пациентов с генотипом HCV, 4-инфекции лечили софосбувир (400 мг в день) плюс ПЭГ-ИФН 2а (180 мкг в неделю) и на основе веса рибавирином в течение 12 недель. </w:t>
        </w:r>
      </w:hyperlink>
      <w:r w:rsidRPr="00C57BC1">
        <w:rPr>
          <w:rFonts w:ascii="Times New Roman" w:eastAsia="Times New Roman" w:hAnsi="Times New Roman" w:cs="Times New Roman"/>
          <w:sz w:val="24"/>
          <w:szCs w:val="24"/>
          <w:lang w:eastAsia="ru-RU"/>
        </w:rPr>
        <w:t>Из 28 пациентов с генотипом 4-инфекции, 27 (96%) достигается SVR12. Сингл пациент, который не достиг УВО был цирроз и рецидив после терапии. Профиль нежелательных явлений был таким же, что связано с PEG-IFN и RBV терапии.</w:t>
      </w:r>
    </w:p>
    <w:p w:rsidR="00C57BC1" w:rsidRPr="00C57BC1" w:rsidRDefault="00C57BC1" w:rsidP="00C57BC1">
      <w:pPr>
        <w:shd w:val="clear" w:color="auto" w:fill="F4E5E5"/>
        <w:spacing w:after="12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i/>
          <w:iCs/>
          <w:color w:val="000000"/>
          <w:sz w:val="26"/>
          <w:szCs w:val="26"/>
          <w:lang w:eastAsia="ru-RU"/>
        </w:rPr>
        <w:t>Следующие схемы НЕ рекомендуется для лечения больных с наивным Генотип ВГС 4-инфекции.</w:t>
      </w:r>
    </w:p>
    <w:p w:rsidR="00C57BC1" w:rsidRPr="00C57BC1" w:rsidRDefault="00C57BC1" w:rsidP="00C57BC1">
      <w:pPr>
        <w:numPr>
          <w:ilvl w:val="0"/>
          <w:numId w:val="4"/>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ПЭГ-ИФН и рибавирином или без simeprevir в течение 24 недель до 48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4"/>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numPr>
          <w:ilvl w:val="0"/>
          <w:numId w:val="4"/>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Telaprevir- или схемы Boceprevir основе</w:t>
      </w:r>
    </w:p>
    <w:p w:rsidR="00C57BC1" w:rsidRPr="00C57BC1" w:rsidRDefault="00C57BC1" w:rsidP="00C57BC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spacing w:after="0"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p w:rsidR="00C57BC1" w:rsidRPr="00C57BC1" w:rsidRDefault="00C57BC1" w:rsidP="00C57BC1">
      <w:pPr>
        <w:spacing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ПЭГ-ИФН и рибавирином в течение 48 недель было ранее Рекомендуемая схема для пациентов с ВГС генотипа 4-инфекции. (Гани 2009); (AASLD / IDSA / МСФО США 2014) Добавление софосбувир (400 мг в день) в ПЭГ-ИФН и рибавирином повышает ставки реагирования и заметно сокращает терапии без очевидных дополнительных побочных эффектов. Добавление simeprevir к ПЭГ-ИФН и рибавирином повышает уровень ответа, но имеет худшие УВО </w:t>
      </w:r>
      <w:proofErr w:type="gramStart"/>
      <w:r w:rsidRPr="00C57BC1">
        <w:rPr>
          <w:rFonts w:ascii="Times New Roman" w:eastAsia="Times New Roman" w:hAnsi="Times New Roman" w:cs="Times New Roman"/>
          <w:sz w:val="24"/>
          <w:szCs w:val="24"/>
          <w:lang w:eastAsia="ru-RU"/>
        </w:rPr>
        <w:t>в других доступных режимов</w:t>
      </w:r>
      <w:proofErr w:type="gramEnd"/>
      <w:r w:rsidRPr="00C57BC1">
        <w:rPr>
          <w:rFonts w:ascii="Times New Roman" w:eastAsia="Times New Roman" w:hAnsi="Times New Roman" w:cs="Times New Roman"/>
          <w:sz w:val="24"/>
          <w:szCs w:val="24"/>
          <w:lang w:eastAsia="ru-RU"/>
        </w:rPr>
        <w:t xml:space="preserve"> и требует более длительного ПЭГ-ИФН и рибавирином, которая не увеличивает риск побочных эффектов и, таким образом, больше не рекомендуется. (Морено, 2013b)</w:t>
      </w:r>
      <w:r w:rsidRPr="00C57BC1">
        <w:rPr>
          <w:rFonts w:ascii="Times New Roman" w:eastAsia="Times New Roman" w:hAnsi="Times New Roman" w:cs="Times New Roman"/>
          <w:b/>
          <w:bCs/>
          <w:sz w:val="24"/>
          <w:szCs w:val="24"/>
          <w:lang w:eastAsia="ru-RU"/>
        </w:rPr>
        <w:t xml:space="preserve"> </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Из-за их ограниченного активностью в отношении генотипа 4 ВГС в пробирке и в естественных условиях, боцепревир и телапревира не должны использоваться в качестве терапии для пациентов с ВГС генотипа 4-инфекции.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b/>
          <w:bCs/>
          <w:color w:val="638B7D"/>
          <w:sz w:val="31"/>
          <w:szCs w:val="31"/>
          <w:lang w:eastAsia="ru-RU"/>
        </w:rPr>
      </w:pPr>
      <w:bookmarkStart w:id="10" w:name="genotype5-6"/>
      <w:bookmarkEnd w:id="10"/>
      <w:r w:rsidRPr="00C57BC1">
        <w:rPr>
          <w:rFonts w:ascii="Times New Roman" w:eastAsia="Times New Roman" w:hAnsi="Times New Roman" w:cs="Times New Roman"/>
          <w:b/>
          <w:bCs/>
          <w:color w:val="638B7D"/>
          <w:sz w:val="31"/>
          <w:szCs w:val="31"/>
          <w:lang w:eastAsia="ru-RU"/>
        </w:rPr>
        <w:t xml:space="preserve">В. Генотип 5 или 6 </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Имеется мало данных, чтобы помочь руководство принятия решений для пациентов, инфицированных ВГС генотипа 5 или 6. Тем не менее, ledispavir / софосбувир рекомендуется. (Капур 2014); (Абергель, 2015) (Гейн 2014)</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Рекомендуемая схема лечения наивный пациентов с генотипом HCV 5 или 6-инфекции.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сочетание фиксированной дозы ledipasvir (90 мг) / софосбувир (400 мг) в течение 12 недель рекомендуется для лечения больных с генотипом наивно HCV 5 или 6-инфекции.</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IIa, уровень B</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Хотя есть ограниченные данные о больных с генотипом HCV-инфекции 5, активность в пробирке для sofobuvir и ledipasvir неплохо с ЕС </w:t>
      </w:r>
      <w:r w:rsidRPr="00C57BC1">
        <w:rPr>
          <w:rFonts w:ascii="Times New Roman" w:eastAsia="Times New Roman" w:hAnsi="Times New Roman" w:cs="Times New Roman"/>
          <w:sz w:val="24"/>
          <w:szCs w:val="24"/>
          <w:vertAlign w:val="subscript"/>
          <w:lang w:eastAsia="ru-RU"/>
        </w:rPr>
        <w:t>50</w:t>
      </w:r>
      <w:r w:rsidRPr="00C57BC1">
        <w:rPr>
          <w:rFonts w:ascii="Times New Roman" w:eastAsia="Times New Roman" w:hAnsi="Times New Roman" w:cs="Times New Roman"/>
          <w:sz w:val="24"/>
          <w:szCs w:val="24"/>
          <w:lang w:eastAsia="ru-RU"/>
        </w:rPr>
        <w:t xml:space="preserve"> 15 нМ и 0,081 нМ, соответственно. Абергель и его коллеги представили данные из открытых этикетки, одного исследования рычага, который включал 41 генотипом 5-инфицированные пациенты с общей скоростью SVR12 95% (39/41). (Абергель, 2015) Скорость SVR12 также 95% в частности, в лечебно-наивным пациентов (20/21), из которых только 3 были цирроз, но кто все 3 достигнутого SVR12.</w:t>
      </w:r>
    </w:p>
    <w:p w:rsidR="00C57BC1" w:rsidRPr="00C57BC1" w:rsidRDefault="00C57BC1" w:rsidP="00C57BC1">
      <w:pPr>
        <w:shd w:val="clear" w:color="auto" w:fill="FFFAF6"/>
        <w:spacing w:after="120" w:line="240" w:lineRule="auto"/>
        <w:rPr>
          <w:rFonts w:ascii="Times New Roman" w:eastAsia="Times New Roman" w:hAnsi="Times New Roman" w:cs="Times New Roman"/>
          <w:color w:val="145314"/>
          <w:sz w:val="26"/>
          <w:szCs w:val="26"/>
          <w:lang w:eastAsia="ru-RU"/>
        </w:rPr>
      </w:pPr>
      <w:r w:rsidRPr="00C57BC1">
        <w:rPr>
          <w:rFonts w:ascii="Times New Roman" w:eastAsia="Times New Roman" w:hAnsi="Times New Roman" w:cs="Times New Roman"/>
          <w:b/>
          <w:bCs/>
          <w:i/>
          <w:iCs/>
          <w:color w:val="145314"/>
          <w:sz w:val="26"/>
          <w:szCs w:val="26"/>
          <w:lang w:eastAsia="ru-RU"/>
        </w:rPr>
        <w:t>Альтернативная схема для пациентов лечение наивный с ВГС генотипа 5 или 6-инфекции.</w:t>
      </w:r>
    </w:p>
    <w:p w:rsidR="00C57BC1" w:rsidRPr="00C57BC1" w:rsidRDefault="00C57BC1" w:rsidP="00C57BC1">
      <w:pPr>
        <w:shd w:val="clear" w:color="auto" w:fill="FFFAF6"/>
        <w:spacing w:after="120" w:line="240" w:lineRule="auto"/>
        <w:rPr>
          <w:rFonts w:ascii="Times New Roman" w:eastAsia="Times New Roman" w:hAnsi="Times New Roman" w:cs="Times New Roman"/>
          <w:color w:val="3077B8"/>
          <w:sz w:val="29"/>
          <w:szCs w:val="29"/>
          <w:lang w:eastAsia="ru-RU"/>
        </w:rPr>
      </w:pPr>
      <w:r w:rsidRPr="00C57BC1">
        <w:rPr>
          <w:rFonts w:ascii="Times New Roman" w:eastAsia="Times New Roman" w:hAnsi="Times New Roman" w:cs="Times New Roman"/>
          <w:b/>
          <w:bCs/>
          <w:color w:val="3077B8"/>
          <w:sz w:val="29"/>
          <w:szCs w:val="29"/>
          <w:lang w:eastAsia="ru-RU"/>
        </w:rPr>
        <w:t>Ежедневно софосбувир (400 мг) и на основе веса рибавирин плюс еженедельно ПЭГ-ИФН в течение 12 недель является альтернативой для режима нелеченных больных с HCV генотипа 5 или 6-инфекции.</w:t>
      </w:r>
    </w:p>
    <w:p w:rsidR="00C57BC1" w:rsidRPr="00C57BC1" w:rsidRDefault="00C57BC1" w:rsidP="00C57BC1">
      <w:pPr>
        <w:shd w:val="clear" w:color="auto" w:fill="FFFAF6"/>
        <w:spacing w:line="240" w:lineRule="auto"/>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IIa, уровень B</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В нейтрино суда фаза III </w:t>
      </w:r>
      <w:hyperlink r:id="rId48" w:anchor="lawitz2013a" w:history="1">
        <w:r w:rsidRPr="00C57BC1">
          <w:rPr>
            <w:rFonts w:ascii="Times New Roman" w:eastAsia="Times New Roman" w:hAnsi="Times New Roman" w:cs="Times New Roman"/>
            <w:color w:val="0000FF"/>
            <w:sz w:val="24"/>
            <w:szCs w:val="24"/>
            <w:u w:val="single"/>
            <w:lang w:eastAsia="ru-RU"/>
          </w:rPr>
          <w:t>(Lawitz,</w:t>
        </w:r>
      </w:hyperlink>
      <w:r w:rsidRPr="00C57BC1">
        <w:rPr>
          <w:rFonts w:ascii="Times New Roman" w:eastAsia="Times New Roman" w:hAnsi="Times New Roman" w:cs="Times New Roman"/>
          <w:sz w:val="24"/>
          <w:szCs w:val="24"/>
          <w:lang w:eastAsia="ru-RU"/>
        </w:rPr>
        <w:t xml:space="preserve"> </w:t>
      </w:r>
      <w:hyperlink r:id="rId49" w:anchor="lawitz2013a" w:history="1">
        <w:r w:rsidRPr="00C57BC1">
          <w:rPr>
            <w:rFonts w:ascii="Times New Roman" w:eastAsia="Times New Roman" w:hAnsi="Times New Roman" w:cs="Times New Roman"/>
            <w:color w:val="0000FF"/>
            <w:sz w:val="24"/>
            <w:szCs w:val="24"/>
            <w:u w:val="single"/>
            <w:lang w:eastAsia="ru-RU"/>
          </w:rPr>
          <w:t xml:space="preserve">2013a) лечебно-наивно пациентов с генотипами ВГС 1 (п = 291), 4 (п = 28), 5 (п = 1) и 6 (п = 6) обрабатывали софосбувир (400 мг в день), а также ПЭГ-ИФН 2а (180 мкг в неделю) и на основе веса рибавирин в течение 12 недель. </w:t>
        </w:r>
      </w:hyperlink>
      <w:r w:rsidRPr="00C57BC1">
        <w:rPr>
          <w:rFonts w:ascii="Times New Roman" w:eastAsia="Times New Roman" w:hAnsi="Times New Roman" w:cs="Times New Roman"/>
          <w:sz w:val="24"/>
          <w:szCs w:val="24"/>
          <w:lang w:eastAsia="ru-RU"/>
        </w:rPr>
        <w:t>Все 6 пациентов с генотипом 6 и 1 больного с генотипом HCV 5 достигается SVR12. Профиль нежелательных событий в этих больных и в большей исследуемой популяции был похож на что видел с ПЭГ-ИФН и рибавирином терапии.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Ledipasvir имеет в пробирке активности против большинства генотипом 6 подтипов (для 6е кроме). (Вонг 2013); (Колер 2014) Маленький, 2-центр, открытое исследование (NCT01826981) исследовали безопасность и в естественных условиях эффективность ledipasvir / софосбувир в течение 12 недель у пациентов лечебно-наивных и -experienced с генотипом 6 инфекции. Двадцать пять пациентов (92% были лечение наивным), которые были в основном азиатская (88%) имели инфекцию от 7 различных подтипов (32%, 6а, 24%, 6e; 12%, 6l; 8%, 6м; 12%, 6</w:t>
      </w:r>
      <w:proofErr w:type="gramStart"/>
      <w:r w:rsidRPr="00C57BC1">
        <w:rPr>
          <w:rFonts w:ascii="Times New Roman" w:eastAsia="Times New Roman" w:hAnsi="Times New Roman" w:cs="Times New Roman"/>
          <w:sz w:val="24"/>
          <w:szCs w:val="24"/>
          <w:lang w:eastAsia="ru-RU"/>
        </w:rPr>
        <w:t>p ;</w:t>
      </w:r>
      <w:proofErr w:type="gramEnd"/>
      <w:r w:rsidRPr="00C57BC1">
        <w:rPr>
          <w:rFonts w:ascii="Times New Roman" w:eastAsia="Times New Roman" w:hAnsi="Times New Roman" w:cs="Times New Roman"/>
          <w:sz w:val="24"/>
          <w:szCs w:val="24"/>
          <w:lang w:eastAsia="ru-RU"/>
        </w:rPr>
        <w:t xml:space="preserve"> 8%, 6q; 4%, 6R). Два пациента (8%) имели цирроз печени. Скорость SVR12 96% (24/25), и 1 пациент, который пережили рецидив был прекращен терапии в неделю 8 из-за употребления наркотиков. Ни один пациент не прекращено лечение вследствие побочных эффектов.</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xml:space="preserve">В нейтрино суда фаза III </w:t>
      </w:r>
      <w:hyperlink r:id="rId50" w:anchor="lawitz2013a" w:history="1">
        <w:r w:rsidRPr="00C57BC1">
          <w:rPr>
            <w:rFonts w:ascii="Times New Roman" w:eastAsia="Times New Roman" w:hAnsi="Times New Roman" w:cs="Times New Roman"/>
            <w:color w:val="0000FF"/>
            <w:sz w:val="24"/>
            <w:szCs w:val="24"/>
            <w:u w:val="single"/>
            <w:lang w:eastAsia="ru-RU"/>
          </w:rPr>
          <w:t>(Lawitz,</w:t>
        </w:r>
      </w:hyperlink>
      <w:r w:rsidRPr="00C57BC1">
        <w:rPr>
          <w:rFonts w:ascii="Times New Roman" w:eastAsia="Times New Roman" w:hAnsi="Times New Roman" w:cs="Times New Roman"/>
          <w:sz w:val="24"/>
          <w:szCs w:val="24"/>
          <w:lang w:eastAsia="ru-RU"/>
        </w:rPr>
        <w:t xml:space="preserve"> </w:t>
      </w:r>
      <w:hyperlink r:id="rId51" w:anchor="lawitz2013a" w:history="1">
        <w:r w:rsidRPr="00C57BC1">
          <w:rPr>
            <w:rFonts w:ascii="Times New Roman" w:eastAsia="Times New Roman" w:hAnsi="Times New Roman" w:cs="Times New Roman"/>
            <w:color w:val="0000FF"/>
            <w:sz w:val="24"/>
            <w:szCs w:val="24"/>
            <w:u w:val="single"/>
            <w:lang w:eastAsia="ru-RU"/>
          </w:rPr>
          <w:t xml:space="preserve">2013a) лечебно-наивно пациентов с генотипами ВГС 1 (п = 291), 4 (п = 28), 5 (п = 1) и 6 (п = 6) обрабатывали софосбувир (400 мг в день), а также ПЭГ-ИФН 2а (180 мкг в неделю) и на основе веса рибавирин в течение 12 недель. </w:t>
        </w:r>
      </w:hyperlink>
      <w:r w:rsidRPr="00C57BC1">
        <w:rPr>
          <w:rFonts w:ascii="Times New Roman" w:eastAsia="Times New Roman" w:hAnsi="Times New Roman" w:cs="Times New Roman"/>
          <w:sz w:val="24"/>
          <w:szCs w:val="24"/>
          <w:lang w:eastAsia="ru-RU"/>
        </w:rPr>
        <w:t>Все 6 пациентов с генотипом 6 и 1 больного с генотипом HCV 5 достигается SVR12. Профиль нежелательных событий в этих больных и в большей исследуемой популяции был похож на что видел с ПЭГ-ИФН и рибавирином терапии.</w:t>
      </w:r>
    </w:p>
    <w:p w:rsidR="00C57BC1" w:rsidRPr="00C57BC1" w:rsidRDefault="00C57BC1" w:rsidP="00C57BC1">
      <w:pPr>
        <w:shd w:val="clear" w:color="auto" w:fill="F4E5E5"/>
        <w:spacing w:after="12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i/>
          <w:iCs/>
          <w:color w:val="000000"/>
          <w:sz w:val="26"/>
          <w:szCs w:val="26"/>
          <w:lang w:eastAsia="ru-RU"/>
        </w:rPr>
        <w:t>Следующие схемы НЕ рекомендуется для лечения наивный пациентов с генотипом HCV 5 или 6-инфекции.</w:t>
      </w:r>
    </w:p>
    <w:p w:rsidR="00C57BC1" w:rsidRPr="00C57BC1" w:rsidRDefault="00C57BC1" w:rsidP="00C57BC1">
      <w:pPr>
        <w:numPr>
          <w:ilvl w:val="0"/>
          <w:numId w:val="5"/>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ПЭГ-ИФН и рибавирином или без simeprevir в течение 24 недель до 48 недель</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IIb, уровень А</w:t>
      </w:r>
    </w:p>
    <w:p w:rsidR="00C57BC1" w:rsidRPr="00C57BC1" w:rsidRDefault="00C57BC1" w:rsidP="00C57BC1">
      <w:pPr>
        <w:numPr>
          <w:ilvl w:val="0"/>
          <w:numId w:val="5"/>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Монотерапия пэгинтерферона, рибавирина или прямого действия противовирусных</w:t>
      </w:r>
    </w:p>
    <w:p w:rsidR="00C57BC1" w:rsidRPr="00C57BC1" w:rsidRDefault="00C57BC1" w:rsidP="00C57BC1">
      <w:pPr>
        <w:shd w:val="clear" w:color="auto" w:fill="F4E5E5"/>
        <w:spacing w:before="100" w:beforeAutospacing="1" w:after="100" w:afterAutospacing="1"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numPr>
          <w:ilvl w:val="0"/>
          <w:numId w:val="5"/>
        </w:numPr>
        <w:shd w:val="clear" w:color="auto" w:fill="F4E5E5"/>
        <w:spacing w:after="120" w:line="240" w:lineRule="auto"/>
        <w:ind w:left="360" w:right="120"/>
        <w:rPr>
          <w:rFonts w:ascii="Times New Roman" w:eastAsia="Times New Roman" w:hAnsi="Times New Roman" w:cs="Times New Roman"/>
          <w:color w:val="B20000"/>
          <w:sz w:val="29"/>
          <w:szCs w:val="29"/>
          <w:lang w:eastAsia="ru-RU"/>
        </w:rPr>
      </w:pPr>
      <w:r w:rsidRPr="00C57BC1">
        <w:rPr>
          <w:rFonts w:ascii="Times New Roman" w:eastAsia="Times New Roman" w:hAnsi="Times New Roman" w:cs="Times New Roman"/>
          <w:b/>
          <w:bCs/>
          <w:color w:val="B20000"/>
          <w:sz w:val="29"/>
          <w:szCs w:val="29"/>
          <w:lang w:eastAsia="ru-RU"/>
        </w:rPr>
        <w:t>Telaprevir- или схемы Boceprevir основе</w:t>
      </w:r>
    </w:p>
    <w:p w:rsidR="00C57BC1" w:rsidRPr="00C57BC1" w:rsidRDefault="00C57BC1" w:rsidP="00C57BC1">
      <w:pPr>
        <w:shd w:val="clear" w:color="auto" w:fill="F4E5E5"/>
        <w:spacing w:line="240" w:lineRule="auto"/>
        <w:ind w:left="360" w:right="12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Рейтинг:</w:t>
      </w:r>
      <w:r w:rsidRPr="00C57BC1">
        <w:rPr>
          <w:rFonts w:ascii="Times New Roman" w:eastAsia="Times New Roman" w:hAnsi="Times New Roman" w:cs="Times New Roman"/>
          <w:color w:val="000000"/>
          <w:sz w:val="24"/>
          <w:szCs w:val="24"/>
          <w:lang w:eastAsia="ru-RU"/>
        </w:rPr>
        <w:t xml:space="preserve"> Класс III, уровень А</w:t>
      </w:r>
    </w:p>
    <w:p w:rsidR="00C57BC1" w:rsidRPr="00C57BC1" w:rsidRDefault="00C57BC1" w:rsidP="00C57BC1">
      <w:pPr>
        <w:spacing w:after="0"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p w:rsidR="00C57BC1" w:rsidRPr="00C57BC1" w:rsidRDefault="00C57BC1" w:rsidP="00C57BC1">
      <w:pPr>
        <w:spacing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ПЭГ-ИФН и рибавирином в течение 48 недель был предыдущий Альтернативная схема для пациентов, инфицированных ВГС генотипа с 5, а наличие рекомендованных режимов, которые существенно снижают воздействие ИФН и рибавирина сделать этот режим плохой вариант. Из-за их ограниченного активностью в отношении генотипов 5 и 6 ВГС в пробирке и в естественных условиях, боцепревир и телапревира не должны использоваться в качестве терапии для больных с генотипом вируса гепатита 5 или 6-инфекции.</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Смешанные генотипы</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Редко, генотипирование анализы могут указывать на наличие смешанной инфекции (например, генотипы 1а и 2). Данные о лечении для смешанных генотипов с прямого действия противовирусных препаратов редки, и в ожидании наличие pangenotypic режима могут быть рассмотрены. До тех пор, когда необходимо лечение, выбор противовирусного комбинации и длительности лечения не следует максимизировать эффективность против каждого генотипа, представленного в данном анализе. Когда правильная комбинация или продолжительности неясно, консультации экспертов следует искать.</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p w:rsidR="00C57BC1" w:rsidRPr="00C57BC1" w:rsidRDefault="00C57BC1" w:rsidP="00C57BC1">
      <w:pPr>
        <w:shd w:val="clear" w:color="auto" w:fill="FFFFFF"/>
        <w:spacing w:line="240" w:lineRule="auto"/>
        <w:rPr>
          <w:rFonts w:ascii="Times New Roman" w:eastAsia="Times New Roman" w:hAnsi="Times New Roman" w:cs="Times New Roman"/>
          <w:color w:val="000000"/>
          <w:sz w:val="26"/>
          <w:szCs w:val="26"/>
          <w:lang w:eastAsia="ru-RU"/>
        </w:rPr>
      </w:pPr>
      <w:bookmarkStart w:id="11" w:name="drug-interactions"/>
      <w:bookmarkEnd w:id="11"/>
      <w:r w:rsidRPr="00C57BC1">
        <w:rPr>
          <w:rFonts w:ascii="Times New Roman" w:eastAsia="Times New Roman" w:hAnsi="Times New Roman" w:cs="Times New Roman"/>
          <w:b/>
          <w:bCs/>
          <w:color w:val="000000"/>
          <w:sz w:val="26"/>
          <w:szCs w:val="26"/>
          <w:lang w:eastAsia="ru-RU"/>
        </w:rPr>
        <w:t>Первоначальная обработка Таблица: Наркотиков взаимодействий С прямого действия Препаратов и сопутствующих препаратов Избранные</w:t>
      </w:r>
    </w:p>
    <w:tbl>
      <w:tblPr>
        <w:tblW w:w="5000" w:type="pct"/>
        <w:tblCellSpacing w:w="0" w:type="dxa"/>
        <w:tblBorders>
          <w:top w:val="single" w:sz="2" w:space="0" w:color="5B9BD5"/>
          <w:left w:val="single" w:sz="2" w:space="0" w:color="5B9BD5"/>
          <w:bottom w:val="single" w:sz="2" w:space="0" w:color="5B9BD5"/>
          <w:right w:val="single" w:sz="2" w:space="0" w:color="5B9BD5"/>
        </w:tblBorders>
        <w:tblCellMar>
          <w:left w:w="0" w:type="dxa"/>
          <w:right w:w="0" w:type="dxa"/>
        </w:tblCellMar>
        <w:tblLook w:val="04A0" w:firstRow="1" w:lastRow="0" w:firstColumn="1" w:lastColumn="0" w:noHBand="0" w:noVBand="1"/>
      </w:tblPr>
      <w:tblGrid>
        <w:gridCol w:w="2152"/>
        <w:gridCol w:w="1427"/>
        <w:gridCol w:w="1427"/>
        <w:gridCol w:w="1489"/>
        <w:gridCol w:w="1427"/>
        <w:gridCol w:w="1427"/>
      </w:tblGrid>
      <w:tr w:rsidR="00C57BC1" w:rsidRPr="00C57BC1" w:rsidTr="00C57BC1">
        <w:trPr>
          <w:tblCellSpacing w:w="0" w:type="dxa"/>
        </w:trPr>
        <w:tc>
          <w:tcPr>
            <w:tcW w:w="12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24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Сопутствующие препараты</w:t>
            </w:r>
          </w:p>
        </w:tc>
        <w:tc>
          <w:tcPr>
            <w:tcW w:w="7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6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Daclatasvir</w:t>
            </w:r>
          </w:p>
        </w:tc>
        <w:tc>
          <w:tcPr>
            <w:tcW w:w="7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6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Ledipasvir</w:t>
            </w:r>
          </w:p>
        </w:tc>
        <w:tc>
          <w:tcPr>
            <w:tcW w:w="7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24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Paritaprevir / ритонавир / Ombitasvir + Dasabuvir</w:t>
            </w:r>
          </w:p>
        </w:tc>
        <w:tc>
          <w:tcPr>
            <w:tcW w:w="7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6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Simeprevir</w:t>
            </w:r>
          </w:p>
        </w:tc>
        <w:tc>
          <w:tcPr>
            <w:tcW w:w="750" w:type="pct"/>
            <w:tcBorders>
              <w:top w:val="single" w:sz="24" w:space="0" w:color="5B9BD5"/>
              <w:left w:val="single" w:sz="2" w:space="0" w:color="CADDF1"/>
              <w:bottom w:val="single" w:sz="6" w:space="0" w:color="5B9BD5"/>
              <w:right w:val="single" w:sz="2" w:space="0" w:color="CADDF1"/>
            </w:tcBorders>
            <w:shd w:val="clear" w:color="auto" w:fill="CADDF1"/>
            <w:tcMar>
              <w:top w:w="120" w:type="dxa"/>
              <w:left w:w="60" w:type="dxa"/>
              <w:bottom w:w="120" w:type="dxa"/>
              <w:right w:w="60" w:type="dxa"/>
            </w:tcMar>
            <w:hideMark/>
          </w:tcPr>
          <w:p w:rsidR="00C57BC1" w:rsidRPr="00C57BC1" w:rsidRDefault="00C57BC1" w:rsidP="00C57BC1">
            <w:pPr>
              <w:spacing w:before="120" w:after="120" w:line="240" w:lineRule="auto"/>
              <w:ind w:left="60" w:right="60"/>
              <w:rPr>
                <w:rFonts w:ascii="Times New Roman" w:eastAsia="Times New Roman" w:hAnsi="Times New Roman" w:cs="Times New Roman"/>
                <w:color w:val="000000"/>
                <w:sz w:val="24"/>
                <w:szCs w:val="24"/>
                <w:lang w:eastAsia="ru-RU"/>
              </w:rPr>
            </w:pPr>
            <w:r w:rsidRPr="00C57BC1">
              <w:rPr>
                <w:rFonts w:ascii="Times New Roman" w:eastAsia="Times New Roman" w:hAnsi="Times New Roman" w:cs="Times New Roman"/>
                <w:b/>
                <w:bCs/>
                <w:color w:val="000000"/>
                <w:sz w:val="24"/>
                <w:szCs w:val="24"/>
                <w:lang w:eastAsia="ru-RU"/>
              </w:rPr>
              <w:t>Софосбувир</w:t>
            </w:r>
          </w:p>
        </w:tc>
      </w:tr>
      <w:tr w:rsidR="00C57BC1" w:rsidRPr="00C57BC1" w:rsidTr="00C57BC1">
        <w:trPr>
          <w:tblCellSpacing w:w="0" w:type="dxa"/>
        </w:trPr>
        <w:tc>
          <w:tcPr>
            <w:tcW w:w="12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Кислотно-восстановителей *</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Альфузозин / тамсулозин</w:t>
            </w:r>
          </w:p>
        </w:tc>
        <w:tc>
          <w:tcPr>
            <w:tcW w:w="7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Амиодарон</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Противосудорожные</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Антиретровирусные препараты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Смотрите раздел ВИЧ</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Смотрите раздел ВИЧ</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Смотрите раздел ВИЧ</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Смотрите раздел ВИЧ</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Смотрите раздел ВИЧ</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Азол противогрибковые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Бупренорфин / налоксон</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Ингибиторы кальциневрина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Блокаторы кальциевых каналов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Цизаприд</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Дигоксин</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Производные спорыньи</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Этинилэстрадиол продукции является</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Фуросемид</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Гемфиброзил</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Глюкокортикоиды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Х (вдыхании через нос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 xml:space="preserve">Herbals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 xml:space="preserve">Санкт Сусло Джона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Расторопша</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X</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X</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r w:rsidRPr="00C57BC1">
              <w:rPr>
                <w:rFonts w:ascii="Times New Roman" w:eastAsia="Times New Roman" w:hAnsi="Times New Roman" w:cs="Times New Roman"/>
                <w:sz w:val="24"/>
                <w:szCs w:val="24"/>
                <w:lang w:eastAsia="ru-RU"/>
              </w:rPr>
              <w:br/>
            </w:r>
            <w:r w:rsidRPr="00C57BC1">
              <w:rPr>
                <w:rFonts w:ascii="Times New Roman" w:eastAsia="Times New Roman" w:hAnsi="Times New Roman" w:cs="Times New Roman"/>
                <w:b/>
                <w:bCs/>
                <w:sz w:val="24"/>
                <w:szCs w:val="24"/>
                <w:lang w:eastAsia="ru-RU"/>
              </w:rPr>
              <w:t>Икс</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Макролидные противомикробные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Другие antiarrythmics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Ингибиторы фосфодиэстеразы типа 5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Пимозид</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Рифамициновые противомикробные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Сальметерол</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Успокоительные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6" w:space="0" w:color="DEEAF6"/>
              <w:left w:val="single" w:sz="2" w:space="0" w:color="DEEAF6"/>
              <w:bottom w:val="single" w:sz="6" w:space="0" w:color="DEEAF6"/>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Simeprevir</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c>
          <w:tcPr>
            <w:tcW w:w="750" w:type="pct"/>
            <w:tcBorders>
              <w:top w:val="single" w:sz="2" w:space="0" w:color="F2F7FB"/>
              <w:left w:val="single" w:sz="2" w:space="0" w:color="F2F7FB"/>
              <w:bottom w:val="single" w:sz="6" w:space="0" w:color="F2F7FB"/>
              <w:right w:val="single" w:sz="2" w:space="0" w:color="F2F7FB"/>
            </w:tcBorders>
            <w:shd w:val="clear" w:color="auto" w:fill="F2F7FB"/>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r w:rsidR="00C57BC1" w:rsidRPr="00C57BC1" w:rsidTr="00C57BC1">
        <w:trPr>
          <w:tblCellSpacing w:w="0" w:type="dxa"/>
        </w:trPr>
        <w:tc>
          <w:tcPr>
            <w:tcW w:w="12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Статины *</w:t>
            </w:r>
          </w:p>
        </w:tc>
        <w:tc>
          <w:tcPr>
            <w:tcW w:w="7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b/>
                <w:bCs/>
                <w:sz w:val="24"/>
                <w:szCs w:val="24"/>
                <w:lang w:eastAsia="ru-RU"/>
              </w:rPr>
              <w:t>Икс</w:t>
            </w:r>
          </w:p>
        </w:tc>
        <w:tc>
          <w:tcPr>
            <w:tcW w:w="750" w:type="pct"/>
            <w:tcBorders>
              <w:top w:val="single" w:sz="2" w:space="0" w:color="DEEAF6"/>
              <w:left w:val="single" w:sz="2" w:space="0" w:color="DEEAF6"/>
              <w:bottom w:val="single" w:sz="6" w:space="0" w:color="5B9BD5"/>
              <w:right w:val="single" w:sz="2" w:space="0" w:color="DEEAF6"/>
            </w:tcBorders>
            <w:shd w:val="clear" w:color="auto" w:fill="DEEAF6"/>
            <w:tcMar>
              <w:top w:w="120" w:type="dxa"/>
              <w:left w:w="240" w:type="dxa"/>
              <w:bottom w:w="120" w:type="dxa"/>
              <w:right w:w="240" w:type="dxa"/>
            </w:tcMar>
            <w:hideMark/>
          </w:tcPr>
          <w:p w:rsidR="00C57BC1" w:rsidRPr="00C57BC1" w:rsidRDefault="00C57BC1" w:rsidP="00C57BC1">
            <w:pPr>
              <w:spacing w:before="120" w:after="120" w:line="240" w:lineRule="auto"/>
              <w:ind w:left="240" w:right="240"/>
              <w:rPr>
                <w:rFonts w:ascii="Times New Roman" w:eastAsia="Times New Roman" w:hAnsi="Times New Roman" w:cs="Times New Roman"/>
                <w:sz w:val="24"/>
                <w:szCs w:val="24"/>
                <w:lang w:eastAsia="ru-RU"/>
              </w:rPr>
            </w:pPr>
            <w:r w:rsidRPr="00C57BC1">
              <w:rPr>
                <w:rFonts w:ascii="Times New Roman" w:eastAsia="Times New Roman" w:hAnsi="Times New Roman" w:cs="Times New Roman"/>
                <w:sz w:val="24"/>
                <w:szCs w:val="24"/>
                <w:lang w:eastAsia="ru-RU"/>
              </w:rPr>
              <w:t> </w:t>
            </w:r>
          </w:p>
        </w:tc>
      </w:tr>
    </w:tbl>
    <w:p w:rsidR="00C57BC1" w:rsidRPr="00C57BC1" w:rsidRDefault="00C57BC1" w:rsidP="00C57BC1">
      <w:pPr>
        <w:shd w:val="clear" w:color="auto" w:fill="FFFFFF"/>
        <w:spacing w:after="0"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color w:val="000000"/>
          <w:sz w:val="26"/>
          <w:szCs w:val="26"/>
          <w:lang w:eastAsia="ru-RU"/>
        </w:rPr>
        <w:t>* Некоторые лекарственные взаимодействия не класс конкретных; Информация об изделии назначения для конкретных препаратов в пределах класса.</w:t>
      </w:r>
    </w:p>
    <w:p w:rsidR="00C57BC1" w:rsidRPr="00C57BC1" w:rsidRDefault="00C57BC1" w:rsidP="00C57BC1">
      <w:pPr>
        <w:shd w:val="clear" w:color="auto" w:fill="FFFFFF"/>
        <w:spacing w:line="240" w:lineRule="auto"/>
        <w:rPr>
          <w:rFonts w:ascii="Times New Roman" w:eastAsia="Times New Roman" w:hAnsi="Times New Roman" w:cs="Times New Roman"/>
          <w:color w:val="000000"/>
          <w:sz w:val="26"/>
          <w:szCs w:val="26"/>
          <w:lang w:eastAsia="ru-RU"/>
        </w:rPr>
      </w:pPr>
      <w:r w:rsidRPr="00C57BC1">
        <w:rPr>
          <w:rFonts w:ascii="Times New Roman" w:eastAsia="Times New Roman" w:hAnsi="Times New Roman" w:cs="Times New Roman"/>
          <w:b/>
          <w:bCs/>
          <w:color w:val="000000"/>
          <w:sz w:val="26"/>
          <w:szCs w:val="26"/>
          <w:lang w:eastAsia="ru-RU"/>
        </w:rPr>
        <w:t>** Требуется модификация daclatasvir дозы</w:t>
      </w:r>
    </w:p>
    <w:p w:rsidR="00C57BC1" w:rsidRPr="00C57BC1" w:rsidRDefault="00C57BC1" w:rsidP="00C57BC1">
      <w:pPr>
        <w:spacing w:before="100" w:beforeAutospacing="1" w:after="100" w:afterAutospacing="1" w:line="240" w:lineRule="auto"/>
        <w:rPr>
          <w:rFonts w:ascii="Times New Roman" w:eastAsia="Times New Roman" w:hAnsi="Times New Roman" w:cs="Times New Roman"/>
          <w:sz w:val="24"/>
          <w:szCs w:val="24"/>
          <w:lang w:eastAsia="ru-RU"/>
        </w:rPr>
      </w:pPr>
      <w:r w:rsidRPr="00C57BC1">
        <w:rPr>
          <w:rFonts w:ascii="Times New Roman" w:eastAsia="Times New Roman" w:hAnsi="Times New Roman" w:cs="Times New Roman"/>
          <w:i/>
          <w:iCs/>
          <w:sz w:val="24"/>
          <w:szCs w:val="24"/>
          <w:lang w:eastAsia="ru-RU"/>
        </w:rPr>
        <w:t>C hanges, сделанные на 7 августа 2015 года</w:t>
      </w:r>
    </w:p>
    <w:p w:rsidR="00C57BC1" w:rsidRPr="00C57BC1" w:rsidRDefault="00C57BC1" w:rsidP="00C57BC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hyperlink r:id="rId52" w:tooltip="Отображение версию для печати этой страницы." w:history="1">
        <w:r w:rsidRPr="00C57BC1">
          <w:rPr>
            <w:rFonts w:ascii="Times New Roman" w:eastAsia="Times New Roman" w:hAnsi="Times New Roman" w:cs="Times New Roman"/>
            <w:color w:val="0000FF"/>
            <w:sz w:val="24"/>
            <w:szCs w:val="24"/>
            <w:u w:val="single"/>
            <w:lang w:eastAsia="ru-RU"/>
          </w:rPr>
          <w:t>Версия для печати</w:t>
        </w:r>
      </w:hyperlink>
    </w:p>
    <w:p w:rsidR="00C57BC1" w:rsidRPr="00C57BC1" w:rsidRDefault="00C57BC1" w:rsidP="00C57BC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hyperlink r:id="rId53" w:tooltip="Отображение PDF версию этой страницы." w:history="1">
        <w:r w:rsidRPr="00C57BC1">
          <w:rPr>
            <w:rFonts w:ascii="Times New Roman" w:eastAsia="Times New Roman" w:hAnsi="Times New Roman" w:cs="Times New Roman"/>
            <w:color w:val="0000FF"/>
            <w:sz w:val="24"/>
            <w:szCs w:val="24"/>
            <w:u w:val="single"/>
            <w:lang w:eastAsia="ru-RU"/>
          </w:rPr>
          <w:t>PDF версия</w:t>
        </w:r>
      </w:hyperlink>
    </w:p>
    <w:bookmarkEnd w:id="0"/>
    <w:p w:rsidR="00934F3B" w:rsidRDefault="00934F3B"/>
    <w:sectPr w:rsidR="00934F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370C1"/>
    <w:multiLevelType w:val="multilevel"/>
    <w:tmpl w:val="DCB4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40F59"/>
    <w:multiLevelType w:val="multilevel"/>
    <w:tmpl w:val="D89A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96729"/>
    <w:multiLevelType w:val="multilevel"/>
    <w:tmpl w:val="AFDA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F52AB"/>
    <w:multiLevelType w:val="multilevel"/>
    <w:tmpl w:val="5AA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737971"/>
    <w:multiLevelType w:val="multilevel"/>
    <w:tmpl w:val="630E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C562A"/>
    <w:multiLevelType w:val="multilevel"/>
    <w:tmpl w:val="AB08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22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357"/>
    <w:rsid w:val="005B0357"/>
    <w:rsid w:val="00934F3B"/>
    <w:rsid w:val="00C57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DE49C6-CACD-4AF7-AC3B-FF4B2A73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57B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7BC1"/>
    <w:rPr>
      <w:rFonts w:ascii="Times New Roman" w:eastAsia="Times New Roman" w:hAnsi="Times New Roman" w:cs="Times New Roman"/>
      <w:b/>
      <w:bCs/>
      <w:kern w:val="36"/>
      <w:sz w:val="48"/>
      <w:szCs w:val="48"/>
      <w:lang w:eastAsia="ru-RU"/>
    </w:rPr>
  </w:style>
  <w:style w:type="character" w:customStyle="1" w:styleId="printhtml">
    <w:name w:val="print_html"/>
    <w:basedOn w:val="a0"/>
    <w:rsid w:val="00C57BC1"/>
  </w:style>
  <w:style w:type="character" w:styleId="a3">
    <w:name w:val="Hyperlink"/>
    <w:basedOn w:val="a0"/>
    <w:uiPriority w:val="99"/>
    <w:semiHidden/>
    <w:unhideWhenUsed/>
    <w:rsid w:val="00C57BC1"/>
    <w:rPr>
      <w:color w:val="0000FF"/>
      <w:u w:val="single"/>
    </w:rPr>
  </w:style>
  <w:style w:type="character" w:customStyle="1" w:styleId="printpdf">
    <w:name w:val="print_pdf"/>
    <w:basedOn w:val="a0"/>
    <w:rsid w:val="00C57BC1"/>
  </w:style>
  <w:style w:type="paragraph" w:styleId="a4">
    <w:name w:val="Normal (Web)"/>
    <w:basedOn w:val="a"/>
    <w:uiPriority w:val="99"/>
    <w:semiHidden/>
    <w:unhideWhenUsed/>
    <w:rsid w:val="00C57B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57BC1"/>
    <w:rPr>
      <w:b/>
      <w:bCs/>
    </w:rPr>
  </w:style>
  <w:style w:type="character" w:styleId="a6">
    <w:name w:val="Emphasis"/>
    <w:basedOn w:val="a0"/>
    <w:uiPriority w:val="20"/>
    <w:qFormat/>
    <w:rsid w:val="00C57B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45897">
      <w:bodyDiv w:val="1"/>
      <w:marLeft w:val="0"/>
      <w:marRight w:val="0"/>
      <w:marTop w:val="0"/>
      <w:marBottom w:val="0"/>
      <w:divBdr>
        <w:top w:val="none" w:sz="0" w:space="0" w:color="auto"/>
        <w:left w:val="none" w:sz="0" w:space="0" w:color="auto"/>
        <w:bottom w:val="none" w:sz="0" w:space="0" w:color="auto"/>
        <w:right w:val="none" w:sz="0" w:space="0" w:color="auto"/>
      </w:divBdr>
      <w:divsChild>
        <w:div w:id="735666847">
          <w:marLeft w:val="0"/>
          <w:marRight w:val="0"/>
          <w:marTop w:val="0"/>
          <w:marBottom w:val="0"/>
          <w:divBdr>
            <w:top w:val="none" w:sz="0" w:space="0" w:color="auto"/>
            <w:left w:val="none" w:sz="0" w:space="0" w:color="auto"/>
            <w:bottom w:val="none" w:sz="0" w:space="0" w:color="auto"/>
            <w:right w:val="none" w:sz="0" w:space="0" w:color="auto"/>
          </w:divBdr>
          <w:divsChild>
            <w:div w:id="2102987811">
              <w:marLeft w:val="0"/>
              <w:marRight w:val="0"/>
              <w:marTop w:val="0"/>
              <w:marBottom w:val="0"/>
              <w:divBdr>
                <w:top w:val="none" w:sz="0" w:space="0" w:color="auto"/>
                <w:left w:val="none" w:sz="0" w:space="0" w:color="auto"/>
                <w:bottom w:val="none" w:sz="0" w:space="0" w:color="auto"/>
                <w:right w:val="none" w:sz="0" w:space="0" w:color="auto"/>
              </w:divBdr>
              <w:divsChild>
                <w:div w:id="1920600578">
                  <w:marLeft w:val="0"/>
                  <w:marRight w:val="0"/>
                  <w:marTop w:val="0"/>
                  <w:marBottom w:val="0"/>
                  <w:divBdr>
                    <w:top w:val="none" w:sz="0" w:space="0" w:color="auto"/>
                    <w:left w:val="none" w:sz="0" w:space="0" w:color="auto"/>
                    <w:bottom w:val="none" w:sz="0" w:space="0" w:color="auto"/>
                    <w:right w:val="none" w:sz="0" w:space="0" w:color="auto"/>
                  </w:divBdr>
                  <w:divsChild>
                    <w:div w:id="564877470">
                      <w:marLeft w:val="0"/>
                      <w:marRight w:val="0"/>
                      <w:marTop w:val="0"/>
                      <w:marBottom w:val="0"/>
                      <w:divBdr>
                        <w:top w:val="none" w:sz="0" w:space="0" w:color="auto"/>
                        <w:left w:val="none" w:sz="0" w:space="0" w:color="auto"/>
                        <w:bottom w:val="none" w:sz="0" w:space="0" w:color="auto"/>
                        <w:right w:val="none" w:sz="0" w:space="0" w:color="auto"/>
                      </w:divBdr>
                      <w:divsChild>
                        <w:div w:id="1936596394">
                          <w:marLeft w:val="0"/>
                          <w:marRight w:val="0"/>
                          <w:marTop w:val="0"/>
                          <w:marBottom w:val="0"/>
                          <w:divBdr>
                            <w:top w:val="none" w:sz="0" w:space="0" w:color="auto"/>
                            <w:left w:val="none" w:sz="0" w:space="0" w:color="auto"/>
                            <w:bottom w:val="none" w:sz="0" w:space="0" w:color="auto"/>
                            <w:right w:val="none" w:sz="0" w:space="0" w:color="auto"/>
                          </w:divBdr>
                          <w:divsChild>
                            <w:div w:id="1296790616">
                              <w:marLeft w:val="0"/>
                              <w:marRight w:val="0"/>
                              <w:marTop w:val="0"/>
                              <w:marBottom w:val="0"/>
                              <w:divBdr>
                                <w:top w:val="none" w:sz="0" w:space="0" w:color="auto"/>
                                <w:left w:val="none" w:sz="0" w:space="0" w:color="auto"/>
                                <w:bottom w:val="none" w:sz="0" w:space="0" w:color="auto"/>
                                <w:right w:val="none" w:sz="0" w:space="0" w:color="auto"/>
                              </w:divBdr>
                              <w:divsChild>
                                <w:div w:id="1897353974">
                                  <w:marLeft w:val="0"/>
                                  <w:marRight w:val="0"/>
                                  <w:marTop w:val="0"/>
                                  <w:marBottom w:val="0"/>
                                  <w:divBdr>
                                    <w:top w:val="none" w:sz="0" w:space="0" w:color="auto"/>
                                    <w:left w:val="none" w:sz="0" w:space="0" w:color="auto"/>
                                    <w:bottom w:val="none" w:sz="0" w:space="0" w:color="auto"/>
                                    <w:right w:val="none" w:sz="0" w:space="0" w:color="auto"/>
                                  </w:divBdr>
                                  <w:divsChild>
                                    <w:div w:id="775976620">
                                      <w:marLeft w:val="0"/>
                                      <w:marRight w:val="0"/>
                                      <w:marTop w:val="480"/>
                                      <w:marBottom w:val="480"/>
                                      <w:divBdr>
                                        <w:top w:val="single" w:sz="48" w:space="12" w:color="1B6F1B"/>
                                        <w:left w:val="single" w:sz="48" w:space="12" w:color="1B6F1B"/>
                                        <w:bottom w:val="single" w:sz="48" w:space="12" w:color="1B6F1B"/>
                                        <w:right w:val="single" w:sz="48" w:space="12" w:color="1B6F1B"/>
                                      </w:divBdr>
                                    </w:div>
                                    <w:div w:id="1175341259">
                                      <w:marLeft w:val="0"/>
                                      <w:marRight w:val="0"/>
                                      <w:marTop w:val="480"/>
                                      <w:marBottom w:val="480"/>
                                      <w:divBdr>
                                        <w:top w:val="single" w:sz="48" w:space="12" w:color="1B6F1B"/>
                                        <w:left w:val="single" w:sz="48" w:space="12" w:color="1B6F1B"/>
                                        <w:bottom w:val="single" w:sz="48" w:space="12" w:color="1B6F1B"/>
                                        <w:right w:val="single" w:sz="48" w:space="12" w:color="1B6F1B"/>
                                      </w:divBdr>
                                    </w:div>
                                    <w:div w:id="1152403082">
                                      <w:marLeft w:val="0"/>
                                      <w:marRight w:val="0"/>
                                      <w:marTop w:val="480"/>
                                      <w:marBottom w:val="480"/>
                                      <w:divBdr>
                                        <w:top w:val="single" w:sz="48" w:space="12" w:color="E00000"/>
                                        <w:left w:val="single" w:sz="48" w:space="12" w:color="E00000"/>
                                        <w:bottom w:val="single" w:sz="48" w:space="12" w:color="E00000"/>
                                        <w:right w:val="single" w:sz="48" w:space="12" w:color="E00000"/>
                                      </w:divBdr>
                                    </w:div>
                                    <w:div w:id="1104224596">
                                      <w:marLeft w:val="0"/>
                                      <w:marRight w:val="0"/>
                                      <w:marTop w:val="480"/>
                                      <w:marBottom w:val="480"/>
                                      <w:divBdr>
                                        <w:top w:val="single" w:sz="48" w:space="12" w:color="1B6F1B"/>
                                        <w:left w:val="single" w:sz="48" w:space="12" w:color="1B6F1B"/>
                                        <w:bottom w:val="single" w:sz="48" w:space="12" w:color="1B6F1B"/>
                                        <w:right w:val="single" w:sz="48" w:space="12" w:color="1B6F1B"/>
                                      </w:divBdr>
                                    </w:div>
                                    <w:div w:id="477499368">
                                      <w:marLeft w:val="0"/>
                                      <w:marRight w:val="0"/>
                                      <w:marTop w:val="480"/>
                                      <w:marBottom w:val="480"/>
                                      <w:divBdr>
                                        <w:top w:val="single" w:sz="48" w:space="12" w:color="1B6F1B"/>
                                        <w:left w:val="single" w:sz="48" w:space="12" w:color="1B6F1B"/>
                                        <w:bottom w:val="single" w:sz="48" w:space="12" w:color="1B6F1B"/>
                                        <w:right w:val="single" w:sz="48" w:space="12" w:color="1B6F1B"/>
                                      </w:divBdr>
                                    </w:div>
                                    <w:div w:id="1255475586">
                                      <w:marLeft w:val="0"/>
                                      <w:marRight w:val="0"/>
                                      <w:marTop w:val="480"/>
                                      <w:marBottom w:val="480"/>
                                      <w:divBdr>
                                        <w:top w:val="single" w:sz="48" w:space="12" w:color="E00000"/>
                                        <w:left w:val="single" w:sz="48" w:space="12" w:color="E00000"/>
                                        <w:bottom w:val="single" w:sz="48" w:space="12" w:color="E00000"/>
                                        <w:right w:val="single" w:sz="48" w:space="12" w:color="E00000"/>
                                      </w:divBdr>
                                    </w:div>
                                    <w:div w:id="1119301909">
                                      <w:marLeft w:val="0"/>
                                      <w:marRight w:val="0"/>
                                      <w:marTop w:val="480"/>
                                      <w:marBottom w:val="480"/>
                                      <w:divBdr>
                                        <w:top w:val="single" w:sz="48" w:space="12" w:color="1B6F1B"/>
                                        <w:left w:val="single" w:sz="48" w:space="12" w:color="1B6F1B"/>
                                        <w:bottom w:val="single" w:sz="48" w:space="12" w:color="1B6F1B"/>
                                        <w:right w:val="single" w:sz="48" w:space="12" w:color="1B6F1B"/>
                                      </w:divBdr>
                                    </w:div>
                                    <w:div w:id="1995404258">
                                      <w:marLeft w:val="0"/>
                                      <w:marRight w:val="0"/>
                                      <w:marTop w:val="480"/>
                                      <w:marBottom w:val="480"/>
                                      <w:divBdr>
                                        <w:top w:val="single" w:sz="48" w:space="12" w:color="1B6F1B"/>
                                        <w:left w:val="single" w:sz="48" w:space="12" w:color="1B6F1B"/>
                                        <w:bottom w:val="single" w:sz="48" w:space="12" w:color="1B6F1B"/>
                                        <w:right w:val="single" w:sz="48" w:space="12" w:color="1B6F1B"/>
                                      </w:divBdr>
                                    </w:div>
                                    <w:div w:id="1679697160">
                                      <w:marLeft w:val="0"/>
                                      <w:marRight w:val="0"/>
                                      <w:marTop w:val="480"/>
                                      <w:marBottom w:val="480"/>
                                      <w:divBdr>
                                        <w:top w:val="single" w:sz="48" w:space="12" w:color="E00000"/>
                                        <w:left w:val="single" w:sz="48" w:space="12" w:color="E00000"/>
                                        <w:bottom w:val="single" w:sz="48" w:space="12" w:color="E00000"/>
                                        <w:right w:val="single" w:sz="48" w:space="12" w:color="E00000"/>
                                      </w:divBdr>
                                    </w:div>
                                    <w:div w:id="976181117">
                                      <w:marLeft w:val="0"/>
                                      <w:marRight w:val="0"/>
                                      <w:marTop w:val="480"/>
                                      <w:marBottom w:val="480"/>
                                      <w:divBdr>
                                        <w:top w:val="single" w:sz="48" w:space="12" w:color="1B6F1B"/>
                                        <w:left w:val="single" w:sz="48" w:space="12" w:color="1B6F1B"/>
                                        <w:bottom w:val="single" w:sz="48" w:space="12" w:color="1B6F1B"/>
                                        <w:right w:val="single" w:sz="48" w:space="12" w:color="1B6F1B"/>
                                      </w:divBdr>
                                    </w:div>
                                    <w:div w:id="2059932380">
                                      <w:marLeft w:val="0"/>
                                      <w:marRight w:val="0"/>
                                      <w:marTop w:val="480"/>
                                      <w:marBottom w:val="480"/>
                                      <w:divBdr>
                                        <w:top w:val="single" w:sz="48" w:space="12" w:color="1B6F1B"/>
                                        <w:left w:val="single" w:sz="48" w:space="12" w:color="1B6F1B"/>
                                        <w:bottom w:val="single" w:sz="48" w:space="12" w:color="1B6F1B"/>
                                        <w:right w:val="single" w:sz="48" w:space="12" w:color="1B6F1B"/>
                                      </w:divBdr>
                                    </w:div>
                                    <w:div w:id="983049928">
                                      <w:marLeft w:val="0"/>
                                      <w:marRight w:val="0"/>
                                      <w:marTop w:val="480"/>
                                      <w:marBottom w:val="480"/>
                                      <w:divBdr>
                                        <w:top w:val="single" w:sz="48" w:space="12" w:color="E00000"/>
                                        <w:left w:val="single" w:sz="48" w:space="12" w:color="E00000"/>
                                        <w:bottom w:val="single" w:sz="48" w:space="12" w:color="E00000"/>
                                        <w:right w:val="single" w:sz="48" w:space="12" w:color="E00000"/>
                                      </w:divBdr>
                                    </w:div>
                                    <w:div w:id="1307391529">
                                      <w:marLeft w:val="0"/>
                                      <w:marRight w:val="0"/>
                                      <w:marTop w:val="480"/>
                                      <w:marBottom w:val="480"/>
                                      <w:divBdr>
                                        <w:top w:val="single" w:sz="48" w:space="12" w:color="1B6F1B"/>
                                        <w:left w:val="single" w:sz="48" w:space="12" w:color="1B6F1B"/>
                                        <w:bottom w:val="single" w:sz="48" w:space="12" w:color="1B6F1B"/>
                                        <w:right w:val="single" w:sz="48" w:space="12" w:color="1B6F1B"/>
                                      </w:divBdr>
                                    </w:div>
                                    <w:div w:id="1545822829">
                                      <w:marLeft w:val="0"/>
                                      <w:marRight w:val="0"/>
                                      <w:marTop w:val="480"/>
                                      <w:marBottom w:val="480"/>
                                      <w:divBdr>
                                        <w:top w:val="single" w:sz="48" w:space="12" w:color="1B6F1B"/>
                                        <w:left w:val="single" w:sz="48" w:space="12" w:color="1B6F1B"/>
                                        <w:bottom w:val="single" w:sz="48" w:space="12" w:color="1B6F1B"/>
                                        <w:right w:val="single" w:sz="48" w:space="12" w:color="1B6F1B"/>
                                      </w:divBdr>
                                    </w:div>
                                    <w:div w:id="1532378800">
                                      <w:marLeft w:val="0"/>
                                      <w:marRight w:val="0"/>
                                      <w:marTop w:val="480"/>
                                      <w:marBottom w:val="480"/>
                                      <w:divBdr>
                                        <w:top w:val="single" w:sz="48" w:space="12" w:color="E00000"/>
                                        <w:left w:val="single" w:sz="48" w:space="12" w:color="E00000"/>
                                        <w:bottom w:val="single" w:sz="48" w:space="12" w:color="E00000"/>
                                        <w:right w:val="single" w:sz="48" w:space="12" w:color="E00000"/>
                                      </w:divBdr>
                                    </w:div>
                                    <w:div w:id="16408404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cvguidelines.org/full-report/unique-patient-populations-patients-who-develop-recurrent-hcv-infection-post%E2%80%93liver" TargetMode="External"/><Relationship Id="rId18" Type="http://schemas.openxmlformats.org/officeDocument/2006/relationships/hyperlink" Target="http://www.hcvguidelines.org/node/71" TargetMode="External"/><Relationship Id="rId26" Type="http://schemas.openxmlformats.org/officeDocument/2006/relationships/hyperlink" Target="http://www.rxabbvie.com/pdf/viekirapak_pi.pdf" TargetMode="External"/><Relationship Id="rId39" Type="http://schemas.openxmlformats.org/officeDocument/2006/relationships/hyperlink" Target="http://www.hcvguidelines.org/full-report/references" TargetMode="External"/><Relationship Id="rId21" Type="http://schemas.openxmlformats.org/officeDocument/2006/relationships/hyperlink" Target="http://www.rxabbvie.com/pdf/viekirapak_pi.pdf" TargetMode="External"/><Relationship Id="rId34" Type="http://schemas.openxmlformats.org/officeDocument/2006/relationships/hyperlink" Target="http://www.hcvguidelines.org/node/71" TargetMode="External"/><Relationship Id="rId42" Type="http://schemas.openxmlformats.org/officeDocument/2006/relationships/hyperlink" Target="http://www.hcvguidelines.org/full-report/references" TargetMode="External"/><Relationship Id="rId47" Type="http://schemas.openxmlformats.org/officeDocument/2006/relationships/hyperlink" Target="http://www.hcvguidelines.org/full-report/references" TargetMode="External"/><Relationship Id="rId50" Type="http://schemas.openxmlformats.org/officeDocument/2006/relationships/hyperlink" Target="http://www.hcvguidelines.org/full-report/references" TargetMode="External"/><Relationship Id="rId55" Type="http://schemas.openxmlformats.org/officeDocument/2006/relationships/theme" Target="theme/theme1.xml"/><Relationship Id="rId7" Type="http://schemas.openxmlformats.org/officeDocument/2006/relationships/hyperlink" Target="http://www.hcvguidelines.org/node/11" TargetMode="External"/><Relationship Id="rId12" Type="http://schemas.openxmlformats.org/officeDocument/2006/relationships/hyperlink" Target="http://www.hcvguidelines.org/full-report/unique-patient-populations-patients-who-develop-recurrent-hcv-infection-post%E2%80%93liver" TargetMode="External"/><Relationship Id="rId17" Type="http://schemas.openxmlformats.org/officeDocument/2006/relationships/hyperlink" Target="http://www.hep-druginteractions.org/" TargetMode="External"/><Relationship Id="rId25" Type="http://schemas.openxmlformats.org/officeDocument/2006/relationships/hyperlink" Target="http://www.rxabbvie.com/pdf/viekirapak_pi.pdf" TargetMode="External"/><Relationship Id="rId33" Type="http://schemas.openxmlformats.org/officeDocument/2006/relationships/hyperlink" Target="http://www.hcvguidelines.org/full-report/unique-patient-populations-patients-renal-impairment" TargetMode="External"/><Relationship Id="rId38" Type="http://schemas.openxmlformats.org/officeDocument/2006/relationships/hyperlink" Target="http://www.hcvguidelines.org/node/71" TargetMode="External"/><Relationship Id="rId46" Type="http://schemas.openxmlformats.org/officeDocument/2006/relationships/hyperlink" Target="http://www.hcvguidelines.org/full-report/references" TargetMode="External"/><Relationship Id="rId2" Type="http://schemas.openxmlformats.org/officeDocument/2006/relationships/styles" Target="styles.xml"/><Relationship Id="rId16" Type="http://schemas.openxmlformats.org/officeDocument/2006/relationships/hyperlink" Target="http://www.hcvguidelines.org/full-report/initial-treatment-hcv-infection" TargetMode="External"/><Relationship Id="rId20" Type="http://schemas.openxmlformats.org/officeDocument/2006/relationships/hyperlink" Target="http://www.rxabbvie.com/pdf/viekirapak_pi.pdf" TargetMode="External"/><Relationship Id="rId29" Type="http://schemas.openxmlformats.org/officeDocument/2006/relationships/hyperlink" Target="http://hcvguidelines.org/full-report/initial-treatment-hcv-infection" TargetMode="External"/><Relationship Id="rId41" Type="http://schemas.openxmlformats.org/officeDocument/2006/relationships/hyperlink" Target="http://www.hcvguidelines.org/full-report/reference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hcvguidelines.org/printpdf/71" TargetMode="External"/><Relationship Id="rId11" Type="http://schemas.openxmlformats.org/officeDocument/2006/relationships/hyperlink" Target="http://www.hcvguidelines.org/node/11" TargetMode="External"/><Relationship Id="rId24" Type="http://schemas.openxmlformats.org/officeDocument/2006/relationships/hyperlink" Target="http://www.rxabbvie.com/pdf/viekirapak_pi.pdf" TargetMode="External"/><Relationship Id="rId32" Type="http://schemas.openxmlformats.org/officeDocument/2006/relationships/hyperlink" Target="http://www.hcvguidelines.org/full-report/unique-patient-populations-patients-who-develop-recurrent-hcv-infection-post%E2%80%93liver" TargetMode="External"/><Relationship Id="rId37" Type="http://schemas.openxmlformats.org/officeDocument/2006/relationships/hyperlink" Target="http://www.hcvguidelines.org/full-report/references" TargetMode="External"/><Relationship Id="rId40" Type="http://schemas.openxmlformats.org/officeDocument/2006/relationships/hyperlink" Target="http://www.hcvguidelines.org/full-report/references" TargetMode="External"/><Relationship Id="rId45" Type="http://schemas.openxmlformats.org/officeDocument/2006/relationships/hyperlink" Target="http://www.hcvguidelines.org/full-report/references" TargetMode="External"/><Relationship Id="rId53" Type="http://schemas.openxmlformats.org/officeDocument/2006/relationships/hyperlink" Target="http://www.hcvguidelines.org/printpdf/full-report/initial-treatment-hcv-infection" TargetMode="External"/><Relationship Id="rId5" Type="http://schemas.openxmlformats.org/officeDocument/2006/relationships/hyperlink" Target="http://www.hcvguidelines.org/print/71" TargetMode="External"/><Relationship Id="rId15" Type="http://schemas.openxmlformats.org/officeDocument/2006/relationships/hyperlink" Target="http://www.hcvguidelines.org/node/92" TargetMode="External"/><Relationship Id="rId23" Type="http://schemas.openxmlformats.org/officeDocument/2006/relationships/hyperlink" Target="http://www.rxabbvie.com/pdf/viekirapak_pi.pdf" TargetMode="External"/><Relationship Id="rId28" Type="http://schemas.openxmlformats.org/officeDocument/2006/relationships/hyperlink" Target="http://www.hcvguidelines.org/full-report/initial-treatment-hcv-infection" TargetMode="External"/><Relationship Id="rId36" Type="http://schemas.openxmlformats.org/officeDocument/2006/relationships/hyperlink" Target="http://www.hcvguidelines.org/full-report/references" TargetMode="External"/><Relationship Id="rId49" Type="http://schemas.openxmlformats.org/officeDocument/2006/relationships/hyperlink" Target="http://www.hcvguidelines.org/full-report/references" TargetMode="External"/><Relationship Id="rId10" Type="http://schemas.openxmlformats.org/officeDocument/2006/relationships/hyperlink" Target="http://www.hcvguidelines.org/full-report/unique-patient-populations-patients-decompensated-cirrhosis" TargetMode="External"/><Relationship Id="rId19" Type="http://schemas.openxmlformats.org/officeDocument/2006/relationships/hyperlink" Target="http://www.hcvguidelines.org/full-report/references" TargetMode="External"/><Relationship Id="rId31" Type="http://schemas.openxmlformats.org/officeDocument/2006/relationships/hyperlink" Target="http://www.hcvguidelines.org/full-report/unique-patient-populations-patients-decompensated-cirrhosis" TargetMode="External"/><Relationship Id="rId44" Type="http://schemas.openxmlformats.org/officeDocument/2006/relationships/hyperlink" Target="http://www.hcvguidelines.org/full-report/references" TargetMode="External"/><Relationship Id="rId52" Type="http://schemas.openxmlformats.org/officeDocument/2006/relationships/hyperlink" Target="http://www.hcvguidelines.org/print/full-report/initial-treatment-hcv-infection" TargetMode="External"/><Relationship Id="rId4" Type="http://schemas.openxmlformats.org/officeDocument/2006/relationships/webSettings" Target="webSettings.xml"/><Relationship Id="rId9" Type="http://schemas.openxmlformats.org/officeDocument/2006/relationships/hyperlink" Target="http://www.hcvguidelines.org/full-report/unique-patient-populations-patients-hivhcv-coinfection" TargetMode="External"/><Relationship Id="rId14" Type="http://schemas.openxmlformats.org/officeDocument/2006/relationships/hyperlink" Target="http://www.hcvguidelines.org/full-report/unique-patient-populations-patients-renal-impairment" TargetMode="External"/><Relationship Id="rId22" Type="http://schemas.openxmlformats.org/officeDocument/2006/relationships/hyperlink" Target="http://www.rxabbvie.com/pdf/viekirapak_pi.pdf" TargetMode="External"/><Relationship Id="rId27" Type="http://schemas.openxmlformats.org/officeDocument/2006/relationships/hyperlink" Target="http://www.hcvguidelines.org/node/71" TargetMode="External"/><Relationship Id="rId30" Type="http://schemas.openxmlformats.org/officeDocument/2006/relationships/hyperlink" Target="http://www.hcvguidelines.org/full-report/unique-patient-populations-patients-hivhcv-coinfection" TargetMode="External"/><Relationship Id="rId35" Type="http://schemas.openxmlformats.org/officeDocument/2006/relationships/hyperlink" Target="http://www.hcvguidelines.org/full-report/references" TargetMode="External"/><Relationship Id="rId43" Type="http://schemas.openxmlformats.org/officeDocument/2006/relationships/hyperlink" Target="http://www.hcvguidelines.org/full-report/references" TargetMode="External"/><Relationship Id="rId48" Type="http://schemas.openxmlformats.org/officeDocument/2006/relationships/hyperlink" Target="http://www.hcvguidelines.org/full-report/references" TargetMode="External"/><Relationship Id="rId8" Type="http://schemas.openxmlformats.org/officeDocument/2006/relationships/hyperlink" Target="http://www.hcvguidelines.org/node/29" TargetMode="External"/><Relationship Id="rId51" Type="http://schemas.openxmlformats.org/officeDocument/2006/relationships/hyperlink" Target="http://www.hcvguidelines.org/full-report/references"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7376</Words>
  <Characters>42044</Characters>
  <Application>Microsoft Office Word</Application>
  <DocSecurity>0</DocSecurity>
  <Lines>350</Lines>
  <Paragraphs>98</Paragraphs>
  <ScaleCrop>false</ScaleCrop>
  <Company/>
  <LinksUpToDate>false</LinksUpToDate>
  <CharactersWithSpaces>49322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rus</dc:creator>
  <cp:keywords/>
  <dc:description/>
  <cp:lastModifiedBy>vlad rus</cp:lastModifiedBy>
  <cp:revision>3</cp:revision>
  <dcterms:created xsi:type="dcterms:W3CDTF">2015-11-12T22:10:00Z</dcterms:created>
  <dcterms:modified xsi:type="dcterms:W3CDTF">2015-11-12T22:11:00Z</dcterms:modified>
</cp:coreProperties>
</file>