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8D4" w:rsidRPr="000218D4" w:rsidRDefault="000218D4" w:rsidP="000218D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0218D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Повторное коробки. Резюме рекомендаций для пациентов, у которых предыдущее лечение Has Failed</w:t>
      </w:r>
    </w:p>
    <w:p w:rsidR="000218D4" w:rsidRPr="000218D4" w:rsidRDefault="000218D4" w:rsidP="00021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ooltip="Отображение версию для печати этой страницы." w:history="1">
        <w:r w:rsidRPr="000218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Версия для печати </w:t>
        </w:r>
      </w:hyperlink>
      <w:hyperlink r:id="rId6" w:tooltip="Отображение PDF версию этой страницы." w:history="1">
        <w:r w:rsidRPr="000218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формате PDF Версия</w:t>
        </w:r>
      </w:hyperlink>
    </w:p>
    <w:p w:rsidR="000218D4" w:rsidRPr="000218D4" w:rsidRDefault="000218D4" w:rsidP="000218D4">
      <w:pPr>
        <w:spacing w:after="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145314"/>
          <w:sz w:val="26"/>
          <w:szCs w:val="26"/>
          <w:lang w:eastAsia="ru-RU"/>
        </w:rPr>
        <w:t>Повторное коробки. Рекомендации для пациентов, у которых предыдущее лечение Has Failed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Несколько вариантов с одинаковой эффективностью в целом рекомендуется для пациентов с ВГС генотипа 1а инфекции, которые не имеют цирроз, в которых до ПЭГ-ИФН и рибавирином лечение не удалось (в алфавитном порядке; см текст).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мг) плюс софосбувир (400 мг) в течение 12 недель рекомендуется для пациентов с ВГС генотипа 1а инфекции, которые не имеют цирроз,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в течение 12 недель рекомендуется для пациентов с ВГС генотипа 1а инфекции, которые не имеют цирроз,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сочетание фиксированной дозы paritaprevir (150 мг) / ритонавир (100 мг) / ombitasvir (25 мг), а также два раза в день dasabuvir (250 мг) и веса на основе рибавирина (1000 мг [&lt;75 кг] до 1200 мг </w:t>
      </w: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u w:val="single"/>
          <w:lang w:eastAsia="ru-RU"/>
        </w:rPr>
        <w:t>[&gt;</w:t>
      </w: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75 кг]) в течение 12 недель рекомендуется для пациентов с ВГС генотипа 1а инфекции, которые не имеют цирроз,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simeprevir (150 мг) плюс софосбувир (400 мг) в течение 12 недель рекомендуется для пациентов с ВГС генотипа 1а инфекции, которые не имеют цирроз,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Несколько вариантов с одинаковой эффективностью рекомендуется для пациентов с ВГС генотипа 1b инфекции, которые не имеют цирроз, в которых до ПЭГ-ИФН и рибавирином лечение не удалось (в алфавитном порядке; см текст).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мг) плюс софосбувир (400 мг) в течение 12 недель рекомендуется для пациентов с ВГС генотипа 1b инфекции, которые не имеют цирроз,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в течение 12 недель рекомендуется для пациентов с ВГС генотипа 1b инфекции, которые не имеют цирроз,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paritaprevir (150 мг) / ритонавир (100 мг) / ombitasvir (25 мг) плюс два раза в день дозированного dasabuvir (250 мг) в течение 12 недель рекомендуется для пациентов с ВГС генотипа 1b инфекции, которые не имеют цирроз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simeprevir (150 мг) плюс софосбувир (400 мг) в течение 12 недель рекомендуется для пациентов с ВГС генотипа 1b инфекции, которые не имеют цирроз,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 xml:space="preserve">Рекомендуемые схемы для больных с генотипом 1а или 1b инфекции, которые </w:t>
      </w:r>
      <w:hyperlink r:id="rId7" w:anchor="ctpclass" w:history="1">
        <w:r w:rsidRPr="000218D4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6"/>
            <w:szCs w:val="26"/>
            <w:u w:val="single"/>
            <w:lang w:eastAsia="ru-RU"/>
          </w:rPr>
          <w:t xml:space="preserve">компенсированным </w:t>
        </w:r>
      </w:hyperlink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циррозом,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daclatasvir (60 мг) плюс софосбувир (400 мг) в течение 24 недель с или без веса на основе рибавирина рекомендуется для пациентов с генотипом 1а или 1b инфекции, которые гр </w:t>
      </w:r>
      <w:hyperlink r:id="rId8" w:anchor="ctpclass" w:history="1">
        <w:r w:rsidRPr="000218D4">
          <w:rPr>
            <w:rFonts w:ascii="Times New Roman" w:eastAsia="Times New Roman" w:hAnsi="Times New Roman" w:cs="Times New Roman"/>
            <w:b/>
            <w:bCs/>
            <w:color w:val="0000FF"/>
            <w:sz w:val="29"/>
            <w:szCs w:val="29"/>
            <w:u w:val="single"/>
            <w:lang w:eastAsia="ru-RU"/>
          </w:rPr>
          <w:t xml:space="preserve">ompensated </w:t>
        </w:r>
      </w:hyperlink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цирроз, в которых до ПЭГ-ИФН и рибавирином лечение не удалось ,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сочетание фиксированной дозы ledipasvir (90 мг) / софосбувир (400 мг) в течение 24 недель рекомендуется для пациентов с генотипом 1а или 1b инфекции, которые </w:t>
      </w:r>
      <w:hyperlink r:id="rId9" w:anchor="ctpclass" w:history="1">
        <w:r w:rsidRPr="000218D4">
          <w:rPr>
            <w:rFonts w:ascii="Times New Roman" w:eastAsia="Times New Roman" w:hAnsi="Times New Roman" w:cs="Times New Roman"/>
            <w:b/>
            <w:bCs/>
            <w:color w:val="0000FF"/>
            <w:sz w:val="29"/>
            <w:szCs w:val="29"/>
            <w:u w:val="single"/>
            <w:lang w:eastAsia="ru-RU"/>
          </w:rPr>
          <w:t xml:space="preserve">компенсированным </w:t>
        </w:r>
      </w:hyperlink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циррозом,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сочетание фиксированной дозы ledipasvir (90 мг) / софосбувир (400 мг) плюс основе веса рибавирина в течение 12 недель рекомендуется для пациентов с генотипом 1а или 1b инфекции, которые </w:t>
      </w:r>
      <w:hyperlink r:id="rId10" w:anchor="ctpclass" w:history="1">
        <w:r w:rsidRPr="000218D4">
          <w:rPr>
            <w:rFonts w:ascii="Times New Roman" w:eastAsia="Times New Roman" w:hAnsi="Times New Roman" w:cs="Times New Roman"/>
            <w:b/>
            <w:bCs/>
            <w:color w:val="0000FF"/>
            <w:sz w:val="29"/>
            <w:szCs w:val="29"/>
            <w:u w:val="single"/>
            <w:lang w:eastAsia="ru-RU"/>
          </w:rPr>
          <w:t xml:space="preserve">компенсированным </w:t>
        </w:r>
      </w:hyperlink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циррозом, в которых до ПЭГ-ИФН и рибавирином лечения провалился.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сочетание фиксированной дозы paritaprevir (150 мг) / ритонавир (100 мг) / ombitasvir (25 мг) плюс два раза в день дозированного dasabuvir (250 мг) и веса на основе рибавирина в течение 24 недель рекомендуется для пациентов с генотипом HCV 1а инфекции и в течение 12 недель без рибавирина для пациентов с ВГС генотипа 1b инфекции, которые </w:t>
      </w:r>
      <w:hyperlink r:id="rId11" w:anchor="ctpclass" w:history="1">
        <w:r w:rsidRPr="000218D4">
          <w:rPr>
            <w:rFonts w:ascii="Times New Roman" w:eastAsia="Times New Roman" w:hAnsi="Times New Roman" w:cs="Times New Roman"/>
            <w:b/>
            <w:bCs/>
            <w:color w:val="0000FF"/>
            <w:sz w:val="29"/>
            <w:szCs w:val="29"/>
            <w:u w:val="single"/>
            <w:lang w:eastAsia="ru-RU"/>
          </w:rPr>
          <w:t xml:space="preserve">компенсированным </w:t>
        </w:r>
      </w:hyperlink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циррозом,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simeprevir (150 мг) плюс софосбувир (400 мг) с или без веса на основе рибавирина в течение 24 недель рекомендуется для пациентов с ВГС генотипа 1а инфекции, которые отрицательны для Q80K варианте коммерчески доступных сопротивления анализов и для пациентов с генотипом 1b инфекции, в которых до ПЭГ-ИФН и рибавирином лечение не удалось. Альтернативные схемы должны использоваться для пациентов с </w:t>
      </w:r>
      <w:hyperlink r:id="rId12" w:anchor="ctpclass" w:history="1">
        <w:r w:rsidRPr="000218D4">
          <w:rPr>
            <w:rFonts w:ascii="Times New Roman" w:eastAsia="Times New Roman" w:hAnsi="Times New Roman" w:cs="Times New Roman"/>
            <w:b/>
            <w:bCs/>
            <w:color w:val="0000FF"/>
            <w:sz w:val="29"/>
            <w:szCs w:val="29"/>
            <w:u w:val="single"/>
            <w:lang w:eastAsia="ru-RU"/>
          </w:rPr>
          <w:t>компенсированным циррозом</w:t>
        </w:r>
      </w:hyperlink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и генотипом 1а инфекции у которых Q80K вариант присутствует.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Рекомендуемые схемы для пациентов, у которых предыдущая софосбувир плюс рибавирин с или без лечения ПЭГ-ИФН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Нет Цирроз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ledipavir (90 мг) / софосбувир (400 мг) с весом на основе рибавирина в течение 12 недель рекомендуется для пациентов без цирроза, в которых предыдущая софосбувир плюс рибавирин-содержащих препаратов с или без ПЭГ-ИФН удалось ,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С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Цирроз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с весом на основе рибавирина в течение 24 недель рекомендуется для пациентов с циррозом печени, у которых предыдущая софосбувир-содержащих препаратов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С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 xml:space="preserve">Рекомендуемая схема для пациентов без цирроза, у которых ВГС генотипа 1 инфекции, независимо от подтипа, в которых до лечения с ВГС неструктурный белка 3 (NS3) ингибитора протеазы (телапревир, боцепревир или simeprevir) плюс ПЭГ-ИФН и рибавирином или simeprevir плюс софосбувир не не удалось (не до лечения NS5A). 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мг) плюс софосбувир (400 мг) в течение 12 недель рекомендуется для пациентов с генотипом 1 HCV-инфекции, независимо от подтипа, которые не имеют цирроз, в которых предшествующее лечение протеазы ВГС ингибитора плюс ПЭГ-ИФН, и рибавирин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в течение 12 недель рекомендуется для повторного пациентов с генотипом 1 HCV-инфекции, независимо от подтипа, которые не имеют цирроз, в которых предшествующее лечение протеазы ВГС ингибитора плюс ПЭГ-ИФН и рибавирином не удалось. Основываясь на ограниченных данных, добавление веса на основе рибавирина в ledipasvir / софосбувир рекомендуется для пациентов без цирроза, в которых предшествующее лечение протеазы ВГС ингибитора simeprevir плюс софосбувир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Три схемы с одинаковой эффективностью рекомендуется для пациентов с циррозом печени, которые имеют HCV генотипа 1 инфекции, независимо от подтипа, в которых до лечения с ВГС неструктурный белка 3 (NS3) ингибитора протеазы (телапревира, боцепревир или simeprevir) плюс ПЭГ-ИФН и рибавирин или simeprevir плюс софосбувир не не удалось (не до лечения NS5A).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daclatasvir (60 мг) плюс софосбувир (400 мг) в течение 24 недель с или без веса на основе рибавирина рекомендуется для пациентов с генотипом 1а или 1b инфекции с </w:t>
      </w:r>
      <w:hyperlink r:id="rId13" w:anchor="ctpclass" w:history="1">
        <w:r w:rsidRPr="000218D4">
          <w:rPr>
            <w:rFonts w:ascii="Times New Roman" w:eastAsia="Times New Roman" w:hAnsi="Times New Roman" w:cs="Times New Roman"/>
            <w:b/>
            <w:bCs/>
            <w:color w:val="0000FF"/>
            <w:sz w:val="29"/>
            <w:szCs w:val="29"/>
            <w:u w:val="single"/>
            <w:lang w:eastAsia="ru-RU"/>
          </w:rPr>
          <w:t>компенсированным циррозом,</w:t>
        </w:r>
      </w:hyperlink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 в которых предшествующее лечение протеазы ВГС ингибитора плюс ПЭГ-ИФН и рибавирином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фиксированных доз ledipasvir (90 мг) / софосбувир (400 мг) в течение 24 недель рекомендуется для повторного пациентов с циррозом, у которых HCV генотипа 1 инфекции, независимо от подтипа, в которых предшествующее лечение протеазы ВГС ингибитора плюс ПЭГ -IFN и рибавирином не удалось. Основываясь на ограниченных данных, добавление веса на основе рибавирина в ledipasvir / софосбувир рекомендуется для пациентов с циррозом печени, у которых предшествующее лечение протеазы ВГС ингибитора simeprevir плюс софосбувир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плюс масса на основе рибавирина в течение 12 недель рекомендуется для пациентов с циррозом печени, которые имеют HCV генотипа 1 инфекции, независимо от подтипа, в которых предшествующее лечение ВГС протеазы ингибитор плюс ПЭГ-ИФН и рибавирином не удалось. Пациенты с циррозом печени, которые имеют генотип 1 HCV-инфекции, в которых предшествующее лечение протеазы ВГС ингибитора simeprevir плюс софосбувир не удалось, не должны рассматриваться с этой 12-недельного режима.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для пациентов с ВГС генотипа 1 инфекции, в которых до лечения, включали протеазы ВГС ингибитора не удалось.</w:t>
      </w:r>
    </w:p>
    <w:p w:rsidR="000218D4" w:rsidRPr="000218D4" w:rsidRDefault="000218D4" w:rsidP="000218D4">
      <w:pPr>
        <w:numPr>
          <w:ilvl w:val="0"/>
          <w:numId w:val="1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Любой режим, содержащий PEG-IFN, в том числе</w:t>
      </w:r>
    </w:p>
    <w:p w:rsidR="000218D4" w:rsidRPr="000218D4" w:rsidRDefault="000218D4" w:rsidP="000218D4">
      <w:pPr>
        <w:numPr>
          <w:ilvl w:val="1"/>
          <w:numId w:val="1"/>
        </w:numPr>
        <w:shd w:val="clear" w:color="auto" w:fill="FFFAF6"/>
        <w:spacing w:after="120" w:line="240" w:lineRule="auto"/>
        <w:ind w:left="720" w:right="24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Simeprevir, ПЭГ-ИФН и рибавирином</w:t>
      </w:r>
    </w:p>
    <w:p w:rsidR="000218D4" w:rsidRPr="000218D4" w:rsidRDefault="000218D4" w:rsidP="000218D4">
      <w:pPr>
        <w:numPr>
          <w:ilvl w:val="1"/>
          <w:numId w:val="1"/>
        </w:numPr>
        <w:shd w:val="clear" w:color="auto" w:fill="FFFAF6"/>
        <w:spacing w:after="120" w:line="240" w:lineRule="auto"/>
        <w:ind w:left="720" w:right="24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Софосбувир, ПЭГ-ИФН и рибавирином</w:t>
      </w:r>
    </w:p>
    <w:p w:rsidR="000218D4" w:rsidRPr="000218D4" w:rsidRDefault="000218D4" w:rsidP="000218D4">
      <w:pPr>
        <w:numPr>
          <w:ilvl w:val="1"/>
          <w:numId w:val="1"/>
        </w:numPr>
        <w:shd w:val="clear" w:color="auto" w:fill="FFFAF6"/>
        <w:spacing w:after="120" w:line="240" w:lineRule="auto"/>
        <w:ind w:left="720" w:right="24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Телапревир или боцепревир, ПЭГ-ИФН и рибавирином</w:t>
      </w:r>
    </w:p>
    <w:p w:rsidR="000218D4" w:rsidRPr="000218D4" w:rsidRDefault="000218D4" w:rsidP="000218D4">
      <w:pPr>
        <w:numPr>
          <w:ilvl w:val="1"/>
          <w:numId w:val="1"/>
        </w:numPr>
        <w:shd w:val="clear" w:color="auto" w:fill="FFFAF6"/>
        <w:spacing w:after="0" w:line="240" w:lineRule="auto"/>
        <w:ind w:left="720" w:right="24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 xml:space="preserve">ПЭГ-ИФН и рибавирином в одиночку 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 Уровень А</w:t>
      </w:r>
    </w:p>
    <w:p w:rsidR="000218D4" w:rsidRPr="000218D4" w:rsidRDefault="000218D4" w:rsidP="000218D4">
      <w:pPr>
        <w:numPr>
          <w:ilvl w:val="0"/>
          <w:numId w:val="1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218D4" w:rsidRPr="000218D4" w:rsidRDefault="000218D4" w:rsidP="000218D4">
      <w:pPr>
        <w:numPr>
          <w:ilvl w:val="0"/>
          <w:numId w:val="1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Любое ИФН-Free режим, содержащий протеазы ВГС ингибитора</w:t>
      </w:r>
    </w:p>
    <w:p w:rsidR="000218D4" w:rsidRPr="000218D4" w:rsidRDefault="000218D4" w:rsidP="000218D4">
      <w:pPr>
        <w:numPr>
          <w:ilvl w:val="1"/>
          <w:numId w:val="1"/>
        </w:numPr>
        <w:shd w:val="clear" w:color="auto" w:fill="FFFAF6"/>
        <w:spacing w:after="120" w:line="240" w:lineRule="auto"/>
        <w:ind w:left="720" w:right="24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 xml:space="preserve">Simeprevir </w:t>
      </w:r>
    </w:p>
    <w:p w:rsidR="000218D4" w:rsidRPr="000218D4" w:rsidRDefault="000218D4" w:rsidP="000218D4">
      <w:pPr>
        <w:numPr>
          <w:ilvl w:val="1"/>
          <w:numId w:val="1"/>
        </w:numPr>
        <w:shd w:val="clear" w:color="auto" w:fill="FFFAF6"/>
        <w:spacing w:after="120" w:line="240" w:lineRule="auto"/>
        <w:ind w:left="720" w:right="24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Paritaprevir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Рекомендуемая схема для пациентов, у которых предыдущее лечение с любым ВГС неструктурный белка 5А ингибиторы (NS5A) не удалось (в том числе daclatasvir плюс софосбувир, ledipasvir / софосбувир, или paritaprevir / ритонавир / ombitasvir плюс dasabuvir).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Для пациентов с болезнью печени минимальны, отсрочка лечения рекомендуется при условии наличия данных. </w:t>
      </w:r>
    </w:p>
    <w:p w:rsidR="000218D4" w:rsidRPr="000218D4" w:rsidRDefault="000218D4" w:rsidP="000218D4">
      <w:pPr>
        <w:shd w:val="clear" w:color="auto" w:fill="FFFA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С</w:t>
      </w:r>
    </w:p>
    <w:p w:rsidR="000218D4" w:rsidRPr="000218D4" w:rsidRDefault="000218D4" w:rsidP="000218D4">
      <w:pPr>
        <w:shd w:val="clear" w:color="auto" w:fill="FFFA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Для пациентов с циррозом печени или других пациентов, которые нуждаются в срочном перелечивание, тестирование на сопротивление ассоциированных вариантов, которые придают снизилась чувствительность к ингибиторам протеазы NS3 и ингибиторы NS5A рекомендуется. Конкретные препараты, используемые в схеме повторного лечения должны быть приспособлены к результатам этого тестирования, как описано ниже. Продолжительность лечения 24 недель рекомендуется и, если противопоказаны, на основе веса рибавирина не должно быть добавлено.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С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Рекомендуемая схема для пациентов с ВГС генотипа 2 инфекции,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софосбувир (400 мг) и на основе веса рибавирина в течение 16 недель или 24 недель рекомендуется для пациентов с ВГС генотипа 2 инфекции, у которых перед ПЭГ-ИФН и рибавирином лечение не удалось. 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Альтернативная схема для пациентов с ВГС генотипа 2 инфекции, которые имеют право на получение IFN, и в которых до ПЭГ-ИФН и рибавирином лечение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Повторное ежедневная софосбувир (400 мг) и веса на основе рибавирина плюс еженедельный ПЭГ-ИФН в течение 12 недель является альтернативой для пациентов с генотипом HCV, 2 инфекции, которые имеют право на получение PEG-IFN, в которых предыдущая ПЭГ-ИФН и рибавирином лечения не смогли.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Рекомендуемые схемы для пациентов с ВГС генотипа 2 инфекции, в которых до софосбувир и лечение рибавирином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мг) плюс софосбувир (400 мг) в течение 24 недель с или без веса на основе рибавирина рекомендуется для пациентов с генотипом HCV, 2 инфекции, которые не имеют право на получение IFN, в которых предшествующее лечение софосбувир и рибавирином не удалось.</w:t>
      </w:r>
    </w:p>
    <w:p w:rsidR="000218D4" w:rsidRPr="000218D4" w:rsidRDefault="000218D4" w:rsidP="000218D4">
      <w:pPr>
        <w:shd w:val="clear" w:color="auto" w:fill="FFFA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С</w:t>
      </w:r>
    </w:p>
    <w:p w:rsidR="000218D4" w:rsidRPr="000218D4" w:rsidRDefault="000218D4" w:rsidP="000218D4">
      <w:pPr>
        <w:shd w:val="clear" w:color="auto" w:fill="FFFA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Повторное ежедневная софосбувир (400 мг) и веса на основе рибавирина плюс еженедельный ПЭГ-ИФН в течение 12 недель рекомендуется для пациентов, которые имеют генотип ВГС 2 инфекции, которые имеют право на получение IFN, и в которых предшествующее лечение софосбувир и рибавирином не удалось ,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 Уровень C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для пациентов с ВГС генотипа 2 инфекции в которых до терапии ВГС с ПЭГ-ИФН и рибавирина не удалось.</w:t>
      </w:r>
    </w:p>
    <w:p w:rsidR="000218D4" w:rsidRPr="000218D4" w:rsidRDefault="000218D4" w:rsidP="000218D4">
      <w:pPr>
        <w:numPr>
          <w:ilvl w:val="0"/>
          <w:numId w:val="2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 xml:space="preserve">ПЭГ-ИФН и рибавирином или без телапревира или боцепревир 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218D4" w:rsidRPr="000218D4" w:rsidRDefault="000218D4" w:rsidP="000218D4">
      <w:pPr>
        <w:numPr>
          <w:ilvl w:val="0"/>
          <w:numId w:val="2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Ledipasvir / софосбувир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218D4" w:rsidRPr="000218D4" w:rsidRDefault="000218D4" w:rsidP="000218D4">
      <w:pPr>
        <w:numPr>
          <w:ilvl w:val="0"/>
          <w:numId w:val="2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Рекомендуемые схемы для больных с генотипом вируса гепатита 3-инфекции без цирроза, в которых предшествующее лечение ПЕГ-ИФН и рибавирина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мг) и софосбувир (400 мг) в течение 12 недель рекомендуется для пациентов с ВГС генотипа 3-инфекции без цирроза, в которых предшествующее лечение ПЕГ-ИФН и рибавирина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рибавирина плюс еженедельно ПЭГ-ИФН в течение 12 недель рекомендуется для ИФН-право пациентов с ВГС генотипа 3-инфекции, в которых предшествующее лечение ПЕГ-ИФН и рибавирина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Рекомендуемые схемы для больных с генотипом вируса гепатита 3-инфекции с циррозом, у которых предшествующее лечение ПЕГ-ИФН и рибавирина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мг) и софосбувир (400 мг) в течение 24 недель с весом на основе рибавирина рекомендуется для пациентов с циррозом печени и генотип ВГС 3 инфекции, в которых предшествующее лечение ПЕГ-ИФН и рибавирина не удалось, и которые IFN неприемлемыми.</w:t>
      </w:r>
    </w:p>
    <w:p w:rsidR="000218D4" w:rsidRPr="000218D4" w:rsidRDefault="000218D4" w:rsidP="000218D4">
      <w:pPr>
        <w:shd w:val="clear" w:color="auto" w:fill="FFFA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С</w:t>
      </w:r>
    </w:p>
    <w:p w:rsidR="000218D4" w:rsidRPr="000218D4" w:rsidRDefault="000218D4" w:rsidP="000218D4">
      <w:pPr>
        <w:shd w:val="clear" w:color="auto" w:fill="FFFA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рибавирина плюс еженедельно ПЭГ-ИФН в течение 12 недель рекомендуется для пациентов с ВГС генотипа 3-инфекции, в которых предшествующее лечение ПЕГ-ИФН и рибавирина не удалось, и которые IFN право.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Рекомендуемые схемы для больных с генотипом вируса гепатита 3-инфекции, в которых предшествующее лечение софосбувир и рибавирином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мг) и софосбувир (400 мг) в течение 24 недель с весом на основе рибавирина рекомендуется для ИФН-несовместимых больных с генотипом HCV-инфекции 3, в которых предшествующее лечение софосбувир и рибавирином не удалось.</w:t>
      </w:r>
    </w:p>
    <w:p w:rsidR="000218D4" w:rsidRPr="000218D4" w:rsidRDefault="000218D4" w:rsidP="000218D4">
      <w:pPr>
        <w:shd w:val="clear" w:color="auto" w:fill="FFFA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 Уровень C</w:t>
      </w:r>
    </w:p>
    <w:p w:rsidR="000218D4" w:rsidRPr="000218D4" w:rsidRDefault="000218D4" w:rsidP="000218D4">
      <w:pPr>
        <w:shd w:val="clear" w:color="auto" w:fill="FFFAF6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 плюс еженедельно ПЭГ-ИФН в течение 12 недель рекомендуется для IFN-право пациентов с HCV генотипа 3 инфекции, в которых предшествующее лечение рибавирином и софосбувир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 Уровень C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 xml:space="preserve">Следующие схемы НЕ рекомендуется для пациентов с ВГС генотипа 3-инфекции, в которых предшествующее лечение ПЕГ-ИФН и рибавирина не удалось. </w:t>
      </w:r>
    </w:p>
    <w:p w:rsidR="000218D4" w:rsidRPr="000218D4" w:rsidRDefault="000218D4" w:rsidP="000218D4">
      <w:pPr>
        <w:numPr>
          <w:ilvl w:val="0"/>
          <w:numId w:val="3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ПЭГ-ИФН и рибавирином в течение 24 недель до 48 недель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218D4" w:rsidRPr="000218D4" w:rsidRDefault="000218D4" w:rsidP="000218D4">
      <w:pPr>
        <w:numPr>
          <w:ilvl w:val="0"/>
          <w:numId w:val="3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218D4" w:rsidRPr="000218D4" w:rsidRDefault="000218D4" w:rsidP="000218D4">
      <w:pPr>
        <w:numPr>
          <w:ilvl w:val="0"/>
          <w:numId w:val="3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Telaprevir-, boceprevir- или схемы simeprevir основе.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Несколько вариантов с одинаковой эффективностью в целом рекомендуется для пациентов с ВГС генотипа 4-инфекции, в которых предшествующее лечение ПЕГ-ИФН и рибавирина не удалось (перечислены в алфавитном порядке, см текст).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в течение 12 недель рекомендуется для пациентов с ВГС генотипа 4-инфекции, в которых предшествующее лечение ПЕГ-ИФН и рибавирин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paritaprevir (150 мг) / ритонавир (100 мг) / ombitasvir (25 мг) (PRO) и на основе веса рибавирина в течение 12 недель рекомендуется для пациентов с генотипом HCV, 4-инфекции, в которых предшествующее лечение ПЭГ -IFN и рибавирином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в течение 12 недель и ежедневного рибавирином в зависимости от массы плюс еженедельный ПЭГ-ИФН в течение 12 недель рекомендуется для повторного ИФН-право пациентов с генотипом HCV, 4-инфекции, в которых предшествующее лечение ПЭГ-ИФН и рибавирином не удалось ,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рибавирина в течение 24 недель рекомендуется для повторного пациентов с ВГС генотипа 4-инфекции, в которых предшествующее лечение ПЕГ-ИФН и рибавирина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 xml:space="preserve">Следующие схемы НЕ рекомендуется для пациентов с ВГС генотипа 4-инфекции, в которых предшествующее лечение ПЕГ-ИФН и рибавирина не удалось. </w:t>
      </w:r>
    </w:p>
    <w:p w:rsidR="000218D4" w:rsidRPr="000218D4" w:rsidRDefault="000218D4" w:rsidP="000218D4">
      <w:pPr>
        <w:numPr>
          <w:ilvl w:val="0"/>
          <w:numId w:val="4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ПЭГ-ИФН и рибавирином или без телапревира или боцепревир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218D4" w:rsidRPr="000218D4" w:rsidRDefault="000218D4" w:rsidP="000218D4">
      <w:pPr>
        <w:numPr>
          <w:ilvl w:val="0"/>
          <w:numId w:val="4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Рекомендуемая схема для пациентов с ВГС генотипа 5 или 6 инфекций, в которых до лечения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 фиксированной дозой комбинации ledipasvir (90 мг) / софосбувир (400 мг) в течение 12 недель рекомендуется для пациентов с генотипом HCV 5 или 6 инфекций, в которых предшествующее лечение ПЕГ-ИФН и рибавирином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С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Рекомендуемая схема для ИФН-право пациентов с ВГС генотипа 5 или 6 инфекций, в которых до лечения не удалось.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 плюс еженедельно ПЭГ-ИФН в течение 12 недель является альтернативой для режима ИФН-право пациентов с HCV генотипа 5 или 6 инфекции, в которых до лечения не удалось.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С</w:t>
      </w:r>
    </w:p>
    <w:p w:rsidR="000218D4" w:rsidRPr="000218D4" w:rsidRDefault="000218D4" w:rsidP="000218D4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 xml:space="preserve">Следующие схемы НЕ рекомендуется для пациентов с генотипом HCV 5 или 6 инфекций, в которых до лечения не удалось. </w:t>
      </w:r>
    </w:p>
    <w:p w:rsidR="000218D4" w:rsidRPr="000218D4" w:rsidRDefault="000218D4" w:rsidP="000218D4">
      <w:pPr>
        <w:numPr>
          <w:ilvl w:val="0"/>
          <w:numId w:val="5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218D4" w:rsidRPr="000218D4" w:rsidRDefault="000218D4" w:rsidP="000218D4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218D4" w:rsidRPr="000218D4" w:rsidRDefault="000218D4" w:rsidP="000218D4">
      <w:pPr>
        <w:numPr>
          <w:ilvl w:val="0"/>
          <w:numId w:val="5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Telaprevir- или схемы Boceprevir основе</w:t>
      </w:r>
    </w:p>
    <w:p w:rsidR="000218D4" w:rsidRPr="000218D4" w:rsidRDefault="000218D4" w:rsidP="000218D4">
      <w:pPr>
        <w:shd w:val="clear" w:color="auto" w:fill="FFFAF6"/>
        <w:spacing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21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218D4" w:rsidRPr="000218D4" w:rsidRDefault="000218D4" w:rsidP="000218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Изменения, сделанные на 7 августа 2015 года.</w:t>
      </w:r>
    </w:p>
    <w:p w:rsidR="000218D4" w:rsidRPr="000218D4" w:rsidRDefault="000218D4" w:rsidP="000218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tooltip="Отображение версию для печати этой страницы." w:history="1">
        <w:r w:rsidRPr="000218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Версия для печати</w:t>
        </w:r>
      </w:hyperlink>
    </w:p>
    <w:p w:rsidR="000218D4" w:rsidRPr="000218D4" w:rsidRDefault="000218D4" w:rsidP="000218D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tooltip="Отображение PDF версию этой страницы." w:history="1">
        <w:r w:rsidRPr="000218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PDF версия</w:t>
        </w:r>
      </w:hyperlink>
    </w:p>
    <w:bookmarkEnd w:id="0"/>
    <w:p w:rsidR="0067067D" w:rsidRDefault="0067067D"/>
    <w:sectPr w:rsidR="00670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7968"/>
    <w:multiLevelType w:val="multilevel"/>
    <w:tmpl w:val="AFC82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DA14B7"/>
    <w:multiLevelType w:val="multilevel"/>
    <w:tmpl w:val="EEAC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BB21A9"/>
    <w:multiLevelType w:val="multilevel"/>
    <w:tmpl w:val="F80E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F007A0"/>
    <w:multiLevelType w:val="multilevel"/>
    <w:tmpl w:val="6946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341E60"/>
    <w:multiLevelType w:val="multilevel"/>
    <w:tmpl w:val="2388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931D2F"/>
    <w:multiLevelType w:val="multilevel"/>
    <w:tmpl w:val="80CA3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22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EFC"/>
    <w:rsid w:val="000218D4"/>
    <w:rsid w:val="002F1EFC"/>
    <w:rsid w:val="0067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43CF6-5966-4C24-B1D9-333A0B9C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18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18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inthtml">
    <w:name w:val="print_html"/>
    <w:basedOn w:val="a0"/>
    <w:rsid w:val="000218D4"/>
  </w:style>
  <w:style w:type="character" w:styleId="a3">
    <w:name w:val="Hyperlink"/>
    <w:basedOn w:val="a0"/>
    <w:uiPriority w:val="99"/>
    <w:semiHidden/>
    <w:unhideWhenUsed/>
    <w:rsid w:val="000218D4"/>
    <w:rPr>
      <w:color w:val="0000FF"/>
      <w:u w:val="single"/>
    </w:rPr>
  </w:style>
  <w:style w:type="character" w:customStyle="1" w:styleId="printpdf">
    <w:name w:val="print_pdf"/>
    <w:basedOn w:val="a0"/>
    <w:rsid w:val="000218D4"/>
  </w:style>
  <w:style w:type="paragraph" w:styleId="a4">
    <w:name w:val="Normal (Web)"/>
    <w:basedOn w:val="a"/>
    <w:uiPriority w:val="99"/>
    <w:semiHidden/>
    <w:unhideWhenUsed/>
    <w:rsid w:val="00021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218D4"/>
    <w:rPr>
      <w:b/>
      <w:bCs/>
    </w:rPr>
  </w:style>
  <w:style w:type="character" w:styleId="a6">
    <w:name w:val="Emphasis"/>
    <w:basedOn w:val="a0"/>
    <w:uiPriority w:val="20"/>
    <w:qFormat/>
    <w:rsid w:val="000218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5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20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77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74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249414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619231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single" w:sz="48" w:space="12" w:color="1B6F1B"/>
                                        <w:left w:val="single" w:sz="48" w:space="12" w:color="1B6F1B"/>
                                        <w:bottom w:val="single" w:sz="48" w:space="12" w:color="1B6F1B"/>
                                        <w:right w:val="single" w:sz="48" w:space="12" w:color="1B6F1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cvguidelines.org/node/11" TargetMode="External"/><Relationship Id="rId13" Type="http://schemas.openxmlformats.org/officeDocument/2006/relationships/hyperlink" Target="http://www.hcvguidelines.org/node/1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cvguidelines.org/node/11" TargetMode="External"/><Relationship Id="rId12" Type="http://schemas.openxmlformats.org/officeDocument/2006/relationships/hyperlink" Target="http://www.hcvguidelines.org/node/1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hcvguidelines.org/printpdf/74" TargetMode="External"/><Relationship Id="rId11" Type="http://schemas.openxmlformats.org/officeDocument/2006/relationships/hyperlink" Target="http://www.hcvguidelines.org/node/11" TargetMode="External"/><Relationship Id="rId5" Type="http://schemas.openxmlformats.org/officeDocument/2006/relationships/hyperlink" Target="http://www.hcvguidelines.org/print/74" TargetMode="External"/><Relationship Id="rId15" Type="http://schemas.openxmlformats.org/officeDocument/2006/relationships/hyperlink" Target="http://www.hcvguidelines.org/printpdf/full-report/retreatment-box-summary-recommendations-patients-whom-previous-treatment-has-failed" TargetMode="External"/><Relationship Id="rId10" Type="http://schemas.openxmlformats.org/officeDocument/2006/relationships/hyperlink" Target="http://www.hcvguidelines.org/node/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cvguidelines.org/node/11" TargetMode="External"/><Relationship Id="rId14" Type="http://schemas.openxmlformats.org/officeDocument/2006/relationships/hyperlink" Target="http://www.hcvguidelines.org/print/full-report/retreatment-box-summary-recommendations-patients-whom-previous-treatment-has-fail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2748</Words>
  <Characters>15667</Characters>
  <Application>Microsoft Office Word</Application>
  <DocSecurity>0</DocSecurity>
  <Lines>130</Lines>
  <Paragraphs>36</Paragraphs>
  <ScaleCrop>false</ScaleCrop>
  <Company/>
  <LinksUpToDate>false</LinksUpToDate>
  <CharactersWithSpaces>18379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rus</dc:creator>
  <cp:keywords/>
  <dc:description/>
  <cp:lastModifiedBy>vlad rus</cp:lastModifiedBy>
  <cp:revision>3</cp:revision>
  <dcterms:created xsi:type="dcterms:W3CDTF">2015-11-12T22:20:00Z</dcterms:created>
  <dcterms:modified xsi:type="dcterms:W3CDTF">2015-11-12T22:21:00Z</dcterms:modified>
</cp:coreProperties>
</file>