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7AC3" w:rsidRPr="00677AC3" w:rsidRDefault="00677AC3" w:rsidP="00677AC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677AC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Мониторинга пациентов, которые начинают лечения гепатита С, получают лечение, или пройти ТЕРАПИИ</w:t>
      </w:r>
    </w:p>
    <w:p w:rsidR="00677AC3" w:rsidRPr="00677AC3" w:rsidRDefault="00677AC3" w:rsidP="00677A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" w:tooltip="Отображение версию для печати этой страницы." w:history="1">
        <w:r w:rsidRPr="00677AC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Версия для печати </w:t>
        </w:r>
      </w:hyperlink>
      <w:hyperlink r:id="rId6" w:tooltip="Отображение PDF версию этой страницы." w:history="1">
        <w:r w:rsidRPr="00677AC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 формате PDF Версия</w:t>
        </w:r>
      </w:hyperlink>
    </w:p>
    <w:p w:rsidR="00677AC3" w:rsidRPr="00677AC3" w:rsidRDefault="00677AC3" w:rsidP="00677A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7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Расширения и ноты для сокращений, используемых в данном разделе, можно найти в </w:t>
      </w:r>
      <w:hyperlink r:id="rId7" w:history="1">
        <w:r w:rsidRPr="00677AC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Methods таблице </w:t>
        </w:r>
      </w:hyperlink>
      <w:r w:rsidRPr="00677AC3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</w:p>
    <w:p w:rsidR="00677AC3" w:rsidRPr="00677AC3" w:rsidRDefault="00677AC3" w:rsidP="00677A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7AC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Резюме рекомендаций для мониторинга находится в коробке.</w:t>
      </w:r>
    </w:p>
    <w:p w:rsidR="00677AC3" w:rsidRPr="00677AC3" w:rsidRDefault="00677AC3" w:rsidP="00677A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7AC3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разделе приведены указания по мониторингу пациентов с хроническим гепатитом С, которые, начиная лечение, находятся на лечении, или завершили лечение. Раздел делится на 3 части: предварительную обработку и на лечение мониторинг, доочистка последующей деятельности для лиц, у которых лечение не удалось очистить вирус, и после лечения последующих мер для тех, кто достиг устойчивого вирусологического ответа (УВО; вирусологический лечения).</w:t>
      </w:r>
    </w:p>
    <w:p w:rsidR="00677AC3" w:rsidRPr="00677AC3" w:rsidRDefault="00677AC3" w:rsidP="00677AC3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145314"/>
          <w:sz w:val="26"/>
          <w:szCs w:val="26"/>
          <w:lang w:eastAsia="ru-RU"/>
        </w:rPr>
      </w:pPr>
      <w:r w:rsidRPr="00677AC3">
        <w:rPr>
          <w:rFonts w:ascii="Times New Roman" w:eastAsia="Times New Roman" w:hAnsi="Times New Roman" w:cs="Times New Roman"/>
          <w:b/>
          <w:bCs/>
          <w:i/>
          <w:iCs/>
          <w:color w:val="145314"/>
          <w:sz w:val="26"/>
          <w:szCs w:val="26"/>
          <w:lang w:eastAsia="ru-RU"/>
        </w:rPr>
        <w:t>Рекомендуемые оценки до начала противовирусной терапии.</w:t>
      </w:r>
    </w:p>
    <w:p w:rsidR="00677AC3" w:rsidRPr="00677AC3" w:rsidRDefault="00677AC3" w:rsidP="00677AC3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677AC3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 xml:space="preserve">Оценка потенциальных лекарственных взаимодействий с сопутствующих препаратов рекомендуется перед началом противовирусной терапии. </w:t>
      </w:r>
    </w:p>
    <w:p w:rsidR="00677AC3" w:rsidRPr="00677AC3" w:rsidRDefault="00677AC3" w:rsidP="00677AC3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6"/>
          <w:szCs w:val="26"/>
          <w:lang w:eastAsia="ru-RU"/>
        </w:rPr>
      </w:pPr>
      <w:r w:rsidRPr="00677AC3">
        <w:rPr>
          <w:rFonts w:ascii="Times New Roman" w:eastAsia="Times New Roman" w:hAnsi="Times New Roman" w:cs="Times New Roman"/>
          <w:b/>
          <w:bCs/>
          <w:color w:val="3077B8"/>
          <w:sz w:val="26"/>
          <w:szCs w:val="26"/>
          <w:lang w:eastAsia="ru-RU"/>
        </w:rPr>
        <w:t>Следующие лабораторные испытания рекомендуется в течение 12 недель до начала противовирусной терапии:</w:t>
      </w:r>
    </w:p>
    <w:p w:rsidR="00677AC3" w:rsidRPr="00677AC3" w:rsidRDefault="00677AC3" w:rsidP="00677AC3">
      <w:pPr>
        <w:numPr>
          <w:ilvl w:val="0"/>
          <w:numId w:val="1"/>
        </w:numPr>
        <w:shd w:val="clear" w:color="auto" w:fill="FFFAF6"/>
        <w:spacing w:after="0" w:line="240" w:lineRule="auto"/>
        <w:ind w:left="360" w:right="120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677AC3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Количество Полный анализ крови (CBC), международное нормализованное отношение (МНО)</w:t>
      </w:r>
    </w:p>
    <w:p w:rsidR="00677AC3" w:rsidRPr="00677AC3" w:rsidRDefault="00677AC3" w:rsidP="00677AC3">
      <w:pPr>
        <w:numPr>
          <w:ilvl w:val="0"/>
          <w:numId w:val="1"/>
        </w:numPr>
        <w:shd w:val="clear" w:color="auto" w:fill="FFFAF6"/>
        <w:spacing w:after="0" w:line="240" w:lineRule="auto"/>
        <w:ind w:left="360" w:right="120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677AC3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Функция печени панель (альбумин, общий и прямой билирубин, АЛТ, аспартатаминотрансферазы и щелочной фосфатазы)</w:t>
      </w:r>
    </w:p>
    <w:p w:rsidR="00677AC3" w:rsidRPr="00677AC3" w:rsidRDefault="00677AC3" w:rsidP="00677AC3">
      <w:pPr>
        <w:numPr>
          <w:ilvl w:val="0"/>
          <w:numId w:val="1"/>
        </w:numPr>
        <w:shd w:val="clear" w:color="auto" w:fill="FFFAF6"/>
        <w:spacing w:after="0" w:line="240" w:lineRule="auto"/>
        <w:ind w:left="360" w:right="120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677AC3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Тиреотропного гормона (ТТГ), если используется ИФН</w:t>
      </w:r>
    </w:p>
    <w:p w:rsidR="00677AC3" w:rsidRPr="00677AC3" w:rsidRDefault="00677AC3" w:rsidP="00677AC3">
      <w:pPr>
        <w:numPr>
          <w:ilvl w:val="0"/>
          <w:numId w:val="1"/>
        </w:numPr>
        <w:shd w:val="clear" w:color="auto" w:fill="FFFAF6"/>
        <w:spacing w:before="100" w:beforeAutospacing="1" w:after="100" w:afterAutospacing="1" w:line="240" w:lineRule="auto"/>
        <w:ind w:left="360" w:right="120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677AC3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Расчетное скорость клубочковой фильтрации (СКФ)</w:t>
      </w:r>
    </w:p>
    <w:p w:rsidR="00677AC3" w:rsidRPr="00677AC3" w:rsidRDefault="00677AC3" w:rsidP="00677AC3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6"/>
          <w:szCs w:val="26"/>
          <w:lang w:eastAsia="ru-RU"/>
        </w:rPr>
      </w:pPr>
      <w:r w:rsidRPr="00677AC3">
        <w:rPr>
          <w:rFonts w:ascii="Times New Roman" w:eastAsia="Times New Roman" w:hAnsi="Times New Roman" w:cs="Times New Roman"/>
          <w:b/>
          <w:bCs/>
          <w:color w:val="3077B8"/>
          <w:sz w:val="26"/>
          <w:szCs w:val="26"/>
          <w:lang w:eastAsia="ru-RU"/>
        </w:rPr>
        <w:t>В следующем лабораторные испытания рекомендуется в любое время до начала противовирусной терапии:</w:t>
      </w:r>
    </w:p>
    <w:p w:rsidR="00677AC3" w:rsidRPr="00677AC3" w:rsidRDefault="00677AC3" w:rsidP="00677AC3">
      <w:pPr>
        <w:numPr>
          <w:ilvl w:val="0"/>
          <w:numId w:val="2"/>
        </w:numPr>
        <w:shd w:val="clear" w:color="auto" w:fill="FFFAF6"/>
        <w:spacing w:after="0" w:line="240" w:lineRule="auto"/>
        <w:ind w:left="360" w:right="120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677AC3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Генотип ВГС и подтип</w:t>
      </w:r>
    </w:p>
    <w:p w:rsidR="00677AC3" w:rsidRPr="00677AC3" w:rsidRDefault="00677AC3" w:rsidP="00677AC3">
      <w:pPr>
        <w:numPr>
          <w:ilvl w:val="0"/>
          <w:numId w:val="2"/>
        </w:numPr>
        <w:shd w:val="clear" w:color="auto" w:fill="FFFAF6"/>
        <w:spacing w:after="0" w:line="240" w:lineRule="auto"/>
        <w:ind w:left="360" w:right="120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677AC3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Количественный вирусная нагрузка, за исключением того обстоятельства, что количественное вирусная нагрузка будет влиять продолжительность терапии</w:t>
      </w:r>
    </w:p>
    <w:p w:rsidR="00677AC3" w:rsidRPr="00677AC3" w:rsidRDefault="00677AC3" w:rsidP="00677AC3">
      <w:pPr>
        <w:shd w:val="clear" w:color="auto" w:fill="FFFAF6"/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7A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 за все заявления выше:</w:t>
      </w:r>
      <w:r w:rsidRPr="00677A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I, уровень C</w:t>
      </w:r>
    </w:p>
    <w:p w:rsidR="00677AC3" w:rsidRPr="00677AC3" w:rsidRDefault="00677AC3" w:rsidP="00677AC3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145314"/>
          <w:sz w:val="26"/>
          <w:szCs w:val="26"/>
          <w:lang w:eastAsia="ru-RU"/>
        </w:rPr>
      </w:pPr>
      <w:r w:rsidRPr="00677AC3">
        <w:rPr>
          <w:rFonts w:ascii="Times New Roman" w:eastAsia="Times New Roman" w:hAnsi="Times New Roman" w:cs="Times New Roman"/>
          <w:b/>
          <w:bCs/>
          <w:i/>
          <w:iCs/>
          <w:color w:val="145314"/>
          <w:sz w:val="26"/>
          <w:szCs w:val="26"/>
          <w:lang w:eastAsia="ru-RU"/>
        </w:rPr>
        <w:t>Рекомендуем мониторинг во время противовирусной терапии.</w:t>
      </w:r>
    </w:p>
    <w:p w:rsidR="00677AC3" w:rsidRPr="00677AC3" w:rsidRDefault="00677AC3" w:rsidP="00677AC3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677AC3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Клиника посещения или телефонный контакт, рекомендуется как клинически указал во время лечения, чтобы обеспечить соблюдение и лекарства, чтобы контролировать течение неблагоприятных событий и потенциальных лекарственных взаимодействий с недавно предписанных лекарств.</w:t>
      </w:r>
    </w:p>
    <w:p w:rsidR="00677AC3" w:rsidRPr="00677AC3" w:rsidRDefault="00677AC3" w:rsidP="00677AC3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677AC3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Полный анализ крови (CBC), уровень креатинина, рассчитанный скорость клубочковой фильтрации (СКФ), и функции печени панель рекомендуется после 4 недель лечения и как клинически указал. Тиреотропного гормона (ТТГ) рекомендуется каждые 12 недель для пациентов, получавших интерферон. Более частое оценка для связанных с наркотиками токсических эффектов (например, CBC для пациентов, получавших рибавирина) рекомендуется как клинически указал.</w:t>
      </w:r>
    </w:p>
    <w:p w:rsidR="00677AC3" w:rsidRPr="00677AC3" w:rsidRDefault="00677AC3" w:rsidP="00677AC3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677AC3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Любое увеличение 10-кратное аланинаминотрансферазы (АЛТ) деятельности, в неделю 4 должны побудить прекращения терапии. Любое увеличение АЛТ менее чем в 10 раз, в неделю 4 и в сопровождении любого слабость, тошнота, рвота, желтуха, или увеличение билирубина, щелочной фосфатазы, или международное нормализованное отношение должно также быстрое прекращение терапии. Бессимптомная повышение уровня АЛТ менее чем в 10 раз повышен на 4 неделе должны быть тщательно контролируется и повторяется на 6-й неделе и неделю 8. Если уровни остаются постоянно повышен, следует учитывать, чтобы прекращения терапии.</w:t>
      </w:r>
    </w:p>
    <w:p w:rsidR="00677AC3" w:rsidRPr="00677AC3" w:rsidRDefault="00677AC3" w:rsidP="00677AC3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7A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677A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I, уровень В</w:t>
      </w:r>
    </w:p>
    <w:p w:rsidR="00677AC3" w:rsidRPr="00677AC3" w:rsidRDefault="00677AC3" w:rsidP="00677AC3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677AC3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Количественный ВГС вирусной нагрузки рекомендуется после 4 недель терапии и через 12 недель после завершения терапии. Антивирусная медикаментозная терапия не должна прерываться или прекращено, если уровень РНК ВГС не выполняются или доступны во время лечения.</w:t>
      </w:r>
    </w:p>
    <w:p w:rsidR="00677AC3" w:rsidRPr="00677AC3" w:rsidRDefault="00677AC3" w:rsidP="00677AC3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677AC3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Количественный ВГС вирусной нагрузки может быть рассмотрен в конце лечения и 24 недель или дольше после завершения терапии.</w:t>
      </w:r>
    </w:p>
    <w:p w:rsidR="00677AC3" w:rsidRPr="00677AC3" w:rsidRDefault="00677AC3" w:rsidP="00677AC3">
      <w:pPr>
        <w:shd w:val="clear" w:color="auto" w:fill="FFFAF6"/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7A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677A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I, уровень В</w:t>
      </w:r>
    </w:p>
    <w:p w:rsidR="00677AC3" w:rsidRPr="00677AC3" w:rsidRDefault="00677AC3" w:rsidP="00677AC3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145314"/>
          <w:sz w:val="26"/>
          <w:szCs w:val="26"/>
          <w:lang w:eastAsia="ru-RU"/>
        </w:rPr>
      </w:pPr>
      <w:r w:rsidRPr="00677AC3">
        <w:rPr>
          <w:rFonts w:ascii="Times New Roman" w:eastAsia="Times New Roman" w:hAnsi="Times New Roman" w:cs="Times New Roman"/>
          <w:b/>
          <w:bCs/>
          <w:i/>
          <w:iCs/>
          <w:color w:val="145314"/>
          <w:sz w:val="26"/>
          <w:szCs w:val="26"/>
          <w:lang w:eastAsia="ru-RU"/>
        </w:rPr>
        <w:t>Рекомендации для прекращения лечения из-за недостаточной эффективности.</w:t>
      </w:r>
    </w:p>
    <w:p w:rsidR="00677AC3" w:rsidRPr="00677AC3" w:rsidRDefault="00677AC3" w:rsidP="00677AC3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677AC3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 xml:space="preserve">Если количественное вирусная нагрузка обнаруживается через 4 недели лечения, повторите количественный РНК ВГС вирусной нагрузки рекомендуется после 2 дополнительных недель лечения (лечение неделю 6). Если количественное вирусная нагрузка возросла более чем на 10 раз (&gt; 1 лог </w:t>
      </w:r>
      <w:r w:rsidRPr="00677AC3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vertAlign w:val="subscript"/>
          <w:lang w:eastAsia="ru-RU"/>
        </w:rPr>
        <w:t>10</w:t>
      </w:r>
      <w:r w:rsidRPr="00677AC3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 xml:space="preserve"> МЕ / мл) при повторном тестировании на 6-й неделе (или после этого), то прекращение лечения ВГС рекомендуется.   </w:t>
      </w:r>
    </w:p>
    <w:p w:rsidR="00677AC3" w:rsidRPr="00677AC3" w:rsidRDefault="00677AC3" w:rsidP="00677AC3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677AC3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Значение положительного результата теста РНК HCV на 4 неделе, что остается положительным, но ниже, на 6-й неделе или недели 8 неизвестна. Нет рекомендация прекратить терапию или расширить терапии не могут быть предоставлены в это время.</w:t>
      </w:r>
    </w:p>
    <w:p w:rsidR="00677AC3" w:rsidRPr="00677AC3" w:rsidRDefault="00677AC3" w:rsidP="00677AC3">
      <w:pPr>
        <w:shd w:val="clear" w:color="auto" w:fill="FFFAF6"/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7A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677A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III, уровень С</w:t>
      </w:r>
    </w:p>
    <w:p w:rsidR="00677AC3" w:rsidRPr="00677AC3" w:rsidRDefault="00677AC3" w:rsidP="00677AC3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145314"/>
          <w:sz w:val="26"/>
          <w:szCs w:val="26"/>
          <w:lang w:eastAsia="ru-RU"/>
        </w:rPr>
      </w:pPr>
      <w:r w:rsidRPr="00677AC3">
        <w:rPr>
          <w:rFonts w:ascii="Times New Roman" w:eastAsia="Times New Roman" w:hAnsi="Times New Roman" w:cs="Times New Roman"/>
          <w:b/>
          <w:bCs/>
          <w:i/>
          <w:iCs/>
          <w:color w:val="145314"/>
          <w:sz w:val="26"/>
          <w:szCs w:val="26"/>
          <w:lang w:eastAsia="ru-RU"/>
        </w:rPr>
        <w:t>Рекомендуем мониторинга по вопросам, связанных с беременностью до и во время противовирусной терапии, которая включает рибавирина.</w:t>
      </w:r>
    </w:p>
    <w:p w:rsidR="00677AC3" w:rsidRPr="00677AC3" w:rsidRDefault="00677AC3" w:rsidP="00677AC3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677AC3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Женщины детородного возраста должны быть предупреждены, чтобы не забеременеть во время приема рибавирина, содержащие противовирусные схемы, и в течение 6 месяцев после остановки.</w:t>
      </w:r>
    </w:p>
    <w:p w:rsidR="00677AC3" w:rsidRPr="00677AC3" w:rsidRDefault="00677AC3" w:rsidP="00677AC3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7A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677A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I, уровень С</w:t>
      </w:r>
    </w:p>
    <w:p w:rsidR="00677AC3" w:rsidRPr="00677AC3" w:rsidRDefault="00677AC3" w:rsidP="00677AC3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677AC3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Сыворотка тест на беременность рекомендуется для женщин детородного возраста до начала лечения с режимом, который включает рибавирина.</w:t>
      </w:r>
    </w:p>
    <w:p w:rsidR="00677AC3" w:rsidRPr="00677AC3" w:rsidRDefault="00677AC3" w:rsidP="00677AC3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7A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677A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I, уровень С</w:t>
      </w:r>
    </w:p>
    <w:p w:rsidR="00677AC3" w:rsidRPr="00677AC3" w:rsidRDefault="00677AC3" w:rsidP="00677AC3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677AC3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Оценка использования контрацептивов и возможной беременности рекомендуется через соответствующие промежутки времени в течение (и в течение 6 месяцев после лечения рибавирином) для женщин детородного возраста, и для женщин-партнеров мужчин, которые получают лечение рибавирином.</w:t>
      </w:r>
    </w:p>
    <w:p w:rsidR="00677AC3" w:rsidRPr="00677AC3" w:rsidRDefault="00677AC3" w:rsidP="00677AC3">
      <w:pPr>
        <w:shd w:val="clear" w:color="auto" w:fill="FFFAF6"/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7A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677A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I, уровень С</w:t>
      </w:r>
    </w:p>
    <w:p w:rsidR="00677AC3" w:rsidRPr="00677AC3" w:rsidRDefault="00677AC3" w:rsidP="00677AC3">
      <w:pPr>
        <w:shd w:val="clear" w:color="auto" w:fill="F4E5E5"/>
        <w:spacing w:after="12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77AC3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ru-RU"/>
        </w:rPr>
        <w:t>Следующие схемы НЕ рекомендуется в связи с вопросами, связанными с беременностью.</w:t>
      </w:r>
    </w:p>
    <w:p w:rsidR="00677AC3" w:rsidRPr="00677AC3" w:rsidRDefault="00677AC3" w:rsidP="00677AC3">
      <w:pPr>
        <w:shd w:val="clear" w:color="auto" w:fill="F4E5E5"/>
        <w:spacing w:after="120" w:line="240" w:lineRule="auto"/>
        <w:rPr>
          <w:rFonts w:ascii="Times New Roman" w:eastAsia="Times New Roman" w:hAnsi="Times New Roman" w:cs="Times New Roman"/>
          <w:color w:val="B20000"/>
          <w:sz w:val="29"/>
          <w:szCs w:val="29"/>
          <w:lang w:eastAsia="ru-RU"/>
        </w:rPr>
      </w:pPr>
      <w:r w:rsidRPr="00677AC3">
        <w:rPr>
          <w:rFonts w:ascii="Times New Roman" w:eastAsia="Times New Roman" w:hAnsi="Times New Roman" w:cs="Times New Roman"/>
          <w:b/>
          <w:bCs/>
          <w:color w:val="B20000"/>
          <w:sz w:val="29"/>
          <w:szCs w:val="29"/>
          <w:lang w:eastAsia="ru-RU"/>
        </w:rPr>
        <w:t>Лечение рибавирином не рекомендуется для беременных женщин или женщин, которые не желают придерживаться использование адекватной контрацепции, в том числе тех, кто получает рибавирина себя или сексуальные партнеры пациентов мужского пола, получающих рибавирином.</w:t>
      </w:r>
    </w:p>
    <w:p w:rsidR="00677AC3" w:rsidRPr="00677AC3" w:rsidRDefault="00677AC3" w:rsidP="00677AC3">
      <w:pPr>
        <w:shd w:val="clear" w:color="auto" w:fill="F4E5E5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7A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677A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III, уровень С</w:t>
      </w:r>
    </w:p>
    <w:p w:rsidR="00677AC3" w:rsidRPr="00677AC3" w:rsidRDefault="00677AC3" w:rsidP="00677AC3">
      <w:pPr>
        <w:shd w:val="clear" w:color="auto" w:fill="F4E5E5"/>
        <w:spacing w:after="120" w:line="240" w:lineRule="auto"/>
        <w:rPr>
          <w:rFonts w:ascii="Times New Roman" w:eastAsia="Times New Roman" w:hAnsi="Times New Roman" w:cs="Times New Roman"/>
          <w:color w:val="B20000"/>
          <w:sz w:val="29"/>
          <w:szCs w:val="29"/>
          <w:lang w:eastAsia="ru-RU"/>
        </w:rPr>
      </w:pPr>
      <w:r w:rsidRPr="00677AC3">
        <w:rPr>
          <w:rFonts w:ascii="Times New Roman" w:eastAsia="Times New Roman" w:hAnsi="Times New Roman" w:cs="Times New Roman"/>
          <w:b/>
          <w:bCs/>
          <w:color w:val="B20000"/>
          <w:sz w:val="29"/>
          <w:szCs w:val="29"/>
          <w:lang w:eastAsia="ru-RU"/>
        </w:rPr>
        <w:t>Пациентки, получившие рибавирином и сексуальных партнеров у мужчин, получивших рибавирина не должны забеременеть в течение по крайней мере 6 месяцев после прекращения рибавирином.</w:t>
      </w:r>
    </w:p>
    <w:p w:rsidR="00677AC3" w:rsidRPr="00677AC3" w:rsidRDefault="00677AC3" w:rsidP="00677AC3">
      <w:pPr>
        <w:shd w:val="clear" w:color="auto" w:fill="F4E5E5"/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7A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677A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III, уровень С</w:t>
      </w:r>
    </w:p>
    <w:p w:rsidR="00677AC3" w:rsidRPr="00677AC3" w:rsidRDefault="00677AC3" w:rsidP="00677A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pretreatment"/>
      <w:bookmarkEnd w:id="1"/>
      <w:r w:rsidRPr="00677AC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Предварительная и мониторинг во время лечения</w:t>
      </w:r>
    </w:p>
    <w:p w:rsidR="00677AC3" w:rsidRPr="00677AC3" w:rsidRDefault="00677AC3" w:rsidP="00677A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7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Тестирование предварительной обработки, описанный здесь предполагает, что решение относиться с противовирусных препаратов уже было сделано и что испытания, участвующих в принятии решения для лечения, в том числе тестирование на генотип ВГС и оценки фиброза печени, уже завершена [см </w:t>
      </w:r>
      <w:hyperlink r:id="rId8" w:history="1">
        <w:r w:rsidRPr="00677AC3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кем и когда для лечения</w:t>
        </w:r>
      </w:hyperlink>
      <w:r w:rsidRPr="00677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].</w:t>
      </w:r>
    </w:p>
    <w:p w:rsidR="00677AC3" w:rsidRPr="00677AC3" w:rsidRDefault="00677AC3" w:rsidP="00677A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7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 началом лечения, пациенты должны быть обследованы на потенциальных лекарственных взаимодействий </w:t>
      </w:r>
      <w:proofErr w:type="gramStart"/>
      <w:r w:rsidRPr="00677AC3">
        <w:rPr>
          <w:rFonts w:ascii="Times New Roman" w:eastAsia="Times New Roman" w:hAnsi="Times New Roman" w:cs="Times New Roman"/>
          <w:sz w:val="24"/>
          <w:szCs w:val="24"/>
          <w:lang w:eastAsia="ru-RU"/>
        </w:rPr>
        <w:t>с отдельными противовирусных препаратов</w:t>
      </w:r>
      <w:proofErr w:type="gramEnd"/>
      <w:r w:rsidRPr="00677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(например, http://www.hep-druginteractions.org/). Пациенты также должны быть осведомлены о надлежащего отправления лекарства (например, доза препаратов, частота приема лекарств, с или без пищи, пропущенных дозы, ожидаемой продолжительности неблагоприятные эффекты, и т.д.), решающее значение приверженности и необходимость присмотра и анализы крови </w:t>
      </w:r>
      <w:proofErr w:type="gramStart"/>
      <w:r w:rsidRPr="00677AC3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время</w:t>
      </w:r>
      <w:proofErr w:type="gramEnd"/>
      <w:r w:rsidRPr="00677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после лечения.</w:t>
      </w:r>
    </w:p>
    <w:p w:rsidR="00677AC3" w:rsidRPr="00677AC3" w:rsidRDefault="00677AC3" w:rsidP="00677A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7AC3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время лечения, люди должны следовать до клинически соответствующие интервалы, чтобы гарантировать приверженности лечению, оценить побочные эффекты и потенциальные лекарственные взаимодействия и мониторинга результатов анализа крови, необходимые для обеспечения безопасности пациентов. Частота и тип контакта (например, посещения клиники, телефонный звонок, и т.д.) являются переменными, но должны быть достаточными для оценки безопасности пациента и ответа на лечение, как описано выше.</w:t>
      </w:r>
    </w:p>
    <w:p w:rsidR="00677AC3" w:rsidRPr="00677AC3" w:rsidRDefault="00677AC3" w:rsidP="00677A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7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Оценка РНК ВГС на 4 неделе терапии используется для определения начальной ответ на терапию и приверженности. В фазе III клинических испытаний, почти все пациенты, которые не имеют цирроз был незаметного уровня РНК ВГС на 4 неделе; те, с циррозом печени может потребоваться более чем за 4 недели лечения, прежде чем уровень РНК ВГС не обнаруживается. Есть минимальные данные о том, как использовать HCV РНК уровень во время лечения, чтобы определить, когда остановиться лечения бесплодности. Текущая рекомендация повторить количественный тестирование РНК HCV, в неделю 4 лечения и прекратить лечение, если количественные увеличивается ВГС уровень РНК более чем в 10 раз (&gt; 1 лог </w:t>
      </w:r>
      <w:r w:rsidRPr="00677AC3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10</w:t>
      </w:r>
      <w:r w:rsidRPr="00677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 / мл) на основе мнения экспертов. Там нет данных, подтверждающих прекращение лечения, основанный на выполненные результатов РНК HCV на недели 2, 3, или 4 лечения, или что определяемого уровня РНК ВГС в этих временных точках означает лекарства несоблюдение. Хотя РНК ВГС тестирование рекомендуется в неделю 4 лечения, отсутствие уровне РНК ВГС на 4 неделе это не повод, чтобы прекратить лечение. Количественный тестирование уровня РНК ВГС в конце лечения поможет дифференцировать вирусный прорыв из рецидива, если это необходимо. Некоторые могут предпочесть воздержаться конца-лечения вирусной нагрузки, учитывая высокие темпы вирусного ответа с новыми режимами, и сосредоточиться на неделе 12 доочистки вирусной нагрузки. Вирусологического рецидива редко в 12 или более недель после завершения лечения. Тем не менее, повторите количественный тестирование РНК ВГС можно рассмотреть на 24 или более недель после прекращения лечения отдельных пациентов.</w:t>
      </w:r>
    </w:p>
    <w:p w:rsidR="00677AC3" w:rsidRPr="00677AC3" w:rsidRDefault="00677AC3" w:rsidP="00677A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7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Наличие схем лечения ИФН-Free упростил C терапии гепатита, позволяя меньшей продолжительности, все устные терапии для большинства пациентов. Тем не менее, ПЭГ-ИФН и рибавирином схемы, основанные полезны для отдельных пациентов, и они требуют особого контроля </w:t>
      </w:r>
      <w:proofErr w:type="gramStart"/>
      <w:r w:rsidRPr="00677AC3">
        <w:rPr>
          <w:rFonts w:ascii="Times New Roman" w:eastAsia="Times New Roman" w:hAnsi="Times New Roman" w:cs="Times New Roman"/>
          <w:sz w:val="24"/>
          <w:szCs w:val="24"/>
          <w:lang w:eastAsia="ru-RU"/>
        </w:rPr>
        <w:t>за токсических эффектов</w:t>
      </w:r>
      <w:proofErr w:type="gramEnd"/>
      <w:r w:rsidRPr="00677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(например, анемия или нейтропения), связанных с пэгинтерферона или использования рибавирина. (Рибавирин прописывания информации, 2014); (ПЭГ-ИФН прописывания информации, 2014) у больных с сердечно-сосудистыми заболеваниями, снижение дозы рибавирина до 600 мг в день рекомендуется для тех, кто гемоглобина (HGB) ниже уровня 10 г / дл и прекращение рекомендуется для тех, кто Hgb ниже 8,5 г / дл. Кроме того, хотя новые пероральные все схемы, как правило, хорошо переносится, побочные эффекты имеют место. Расширение терапии в большой популяции пациентов может выявить токсические эффекты, которые не являются очевидными регистрация испытаниях. Кроме того, лекарственных взаимодействий возможно.</w:t>
      </w:r>
    </w:p>
    <w:p w:rsidR="00677AC3" w:rsidRPr="00677AC3" w:rsidRDefault="00677AC3" w:rsidP="00677A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7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Рибавирин вызывает гибель плода и аномалий плода у животных и, таким образом, это важно для лиц детородного потенциала, которые получают препарат использовать по крайней мере 2 надежные формы эффективной контрацепции во время лечения и в течение 6 месяцев после этого. Рекомендуется здравоохранения практикующий документе обсуждение потенциального тератогенного воздействия рибавирина в медицинской карте пациента. Софосбувир, ledipasvir, paritaprevir, ombitasvir и dasabuvir являются беременность категории Б, хотя имеются ограниченные данные о применении этих препаратов во время беременности. Рекомендуется пациенток имеют тщательное обсуждение потенциальных, связанных с беременностью эффектов наркотиков до начала противовирусного лечения. Учитывая относительно короткую продолжительность лечения и потенциала для использования рибавирина-бесплатные схемы во многих пациентов, потенциальные риски и преимущества нежелательности беременности до ВГС противовирусное лечение не будет завершено должны быть рассмотрены. Обучение пациентов и медперсонала </w:t>
      </w:r>
      <w:proofErr w:type="gramStart"/>
      <w:r w:rsidRPr="00677AC3">
        <w:rPr>
          <w:rFonts w:ascii="Times New Roman" w:eastAsia="Times New Roman" w:hAnsi="Times New Roman" w:cs="Times New Roman"/>
          <w:sz w:val="24"/>
          <w:szCs w:val="24"/>
          <w:lang w:eastAsia="ru-RU"/>
        </w:rPr>
        <w:t>о потенциальных побочных эффектов</w:t>
      </w:r>
      <w:proofErr w:type="gramEnd"/>
      <w:r w:rsidRPr="00677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их управления является неотъемлемым компонентом лечения и имеет важное значение для успешного исхода во всех популяциях пациентов.</w:t>
      </w:r>
    </w:p>
    <w:p w:rsidR="00677AC3" w:rsidRPr="00677AC3" w:rsidRDefault="00677AC3" w:rsidP="00677A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7AC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Мониторинг пациентов, которые завершили лечение</w:t>
      </w:r>
    </w:p>
    <w:p w:rsidR="00677AC3" w:rsidRPr="00677AC3" w:rsidRDefault="00677AC3" w:rsidP="00677A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7AC3">
        <w:rPr>
          <w:rFonts w:ascii="Times New Roman" w:eastAsia="Times New Roman" w:hAnsi="Times New Roman" w:cs="Times New Roman"/>
          <w:sz w:val="24"/>
          <w:szCs w:val="24"/>
          <w:lang w:eastAsia="ru-RU"/>
        </w:rPr>
        <w:t>Пациенты, которые не достигают УВО, из-за отказа лечения, чтобы очистить или поддержать клиренс ВГС с рецидивом после завершения лечения, имеют текущие инфекции HCV и возможность продолжения повреждения печени и передачи. Такие пациенты должны контролироваться для прогрессивного заболевания печени и считается для повторного, когда альтернативные методы лечения доступны. Пациенты, которые имеют неопределяемой РНК ВГС в сыворотке, при оценке с помощью чувствительного полимеразной цепной реакции (ПЦР), 12 или более недель после завершения лечения, считаются добились УВО. В этих больных, ВГС, связанных с травмой печени остановок, хотя пациенты остаются в опасности для не-HCV, связанные с заболеванием печени, таких как жировой болезни печени или алкогольной болезни печени. Пациенты с циррозом печени остается риск развития гепатоцеллюлярной карциномы.</w:t>
      </w:r>
    </w:p>
    <w:p w:rsidR="00677AC3" w:rsidRPr="00677AC3" w:rsidRDefault="00677AC3" w:rsidP="00677AC3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145314"/>
          <w:sz w:val="26"/>
          <w:szCs w:val="26"/>
          <w:lang w:eastAsia="ru-RU"/>
        </w:rPr>
      </w:pPr>
      <w:r w:rsidRPr="00677AC3">
        <w:rPr>
          <w:rFonts w:ascii="Times New Roman" w:eastAsia="Times New Roman" w:hAnsi="Times New Roman" w:cs="Times New Roman"/>
          <w:b/>
          <w:bCs/>
          <w:i/>
          <w:iCs/>
          <w:color w:val="145314"/>
          <w:sz w:val="26"/>
          <w:szCs w:val="26"/>
          <w:lang w:eastAsia="ru-RU"/>
        </w:rPr>
        <w:t>Рекомендуем мониторинга пациентов, у которых лечение не удалось добиться устойчивого вирусологического ответа.</w:t>
      </w:r>
    </w:p>
    <w:p w:rsidR="00677AC3" w:rsidRPr="00677AC3" w:rsidRDefault="00677AC3" w:rsidP="00677AC3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677AC3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Оценка Прогрессирование заболевания каждые 6 месяцев до 12 месяцев с печеночной функции панели, полный анализ крови (CBC), а международное нормализованное рацион (INR) рекомендуется.</w:t>
      </w:r>
    </w:p>
    <w:p w:rsidR="00677AC3" w:rsidRPr="00677AC3" w:rsidRDefault="00677AC3" w:rsidP="00677AC3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7A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677A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I, уровень С</w:t>
      </w:r>
    </w:p>
    <w:p w:rsidR="00677AC3" w:rsidRPr="00677AC3" w:rsidRDefault="00677AC3" w:rsidP="00677AC3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677AC3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 xml:space="preserve">Надзор </w:t>
      </w:r>
      <w:proofErr w:type="gramStart"/>
      <w:r w:rsidRPr="00677AC3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за гепатоцеллюлярной карциномы</w:t>
      </w:r>
      <w:proofErr w:type="gramEnd"/>
      <w:r w:rsidRPr="00677AC3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 xml:space="preserve"> с ультразвуком тестирование каждые 6 месяцев рекомендуется для пациентов с фиброзом (т.е. METAVIR этап F3 или F4).</w:t>
      </w:r>
    </w:p>
    <w:p w:rsidR="00677AC3" w:rsidRPr="00677AC3" w:rsidRDefault="00677AC3" w:rsidP="00677AC3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7A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677A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I, уровень С</w:t>
      </w:r>
    </w:p>
    <w:p w:rsidR="00677AC3" w:rsidRPr="00677AC3" w:rsidRDefault="00677AC3" w:rsidP="00677AC3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677AC3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Эндоскопическая надзор за варикозно расширенных вен пищевода рекомендуется, если цирроз печени присутствует.</w:t>
      </w:r>
    </w:p>
    <w:p w:rsidR="00677AC3" w:rsidRPr="00677AC3" w:rsidRDefault="00677AC3" w:rsidP="00677AC3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7A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677A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I, уровень А</w:t>
      </w:r>
    </w:p>
    <w:p w:rsidR="00677AC3" w:rsidRPr="00677AC3" w:rsidRDefault="00677AC3" w:rsidP="00677AC3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677AC3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Оценка для повторного рекомендуется в качестве эффективных альтернативных методов лечения станут доступны.</w:t>
      </w:r>
    </w:p>
    <w:p w:rsidR="00677AC3" w:rsidRPr="00677AC3" w:rsidRDefault="00677AC3" w:rsidP="00677AC3">
      <w:pPr>
        <w:shd w:val="clear" w:color="auto" w:fill="FFFAF6"/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7A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677A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I, уровень С</w:t>
      </w:r>
    </w:p>
    <w:p w:rsidR="00677AC3" w:rsidRPr="00677AC3" w:rsidRDefault="00677AC3" w:rsidP="00677AC3">
      <w:pPr>
        <w:shd w:val="clear" w:color="auto" w:fill="F4E5E5"/>
        <w:spacing w:after="12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77AC3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ru-RU"/>
        </w:rPr>
        <w:t>В следующем мониторинг обычно не рекомендуется до или во время терапии.</w:t>
      </w:r>
    </w:p>
    <w:p w:rsidR="00677AC3" w:rsidRPr="00677AC3" w:rsidRDefault="00677AC3" w:rsidP="00677AC3">
      <w:pPr>
        <w:shd w:val="clear" w:color="auto" w:fill="F4E5E5"/>
        <w:spacing w:after="120" w:line="240" w:lineRule="auto"/>
        <w:rPr>
          <w:rFonts w:ascii="Times New Roman" w:eastAsia="Times New Roman" w:hAnsi="Times New Roman" w:cs="Times New Roman"/>
          <w:color w:val="B20000"/>
          <w:sz w:val="29"/>
          <w:szCs w:val="29"/>
          <w:lang w:eastAsia="ru-RU"/>
        </w:rPr>
      </w:pPr>
      <w:r w:rsidRPr="00677AC3">
        <w:rPr>
          <w:rFonts w:ascii="Times New Roman" w:eastAsia="Times New Roman" w:hAnsi="Times New Roman" w:cs="Times New Roman"/>
          <w:b/>
          <w:bCs/>
          <w:color w:val="B20000"/>
          <w:sz w:val="29"/>
          <w:szCs w:val="29"/>
          <w:lang w:eastAsia="ru-RU"/>
        </w:rPr>
        <w:t>Текущий мониторинг для вариантов, связанные с резистентностью наркотиков ВГС во время терапии не рекомендуется, с 2 исключениями:</w:t>
      </w:r>
    </w:p>
    <w:p w:rsidR="00677AC3" w:rsidRPr="00677AC3" w:rsidRDefault="00677AC3" w:rsidP="00677AC3">
      <w:pPr>
        <w:numPr>
          <w:ilvl w:val="0"/>
          <w:numId w:val="3"/>
        </w:numPr>
        <w:shd w:val="clear" w:color="auto" w:fill="F4E5E5"/>
        <w:spacing w:after="120" w:line="240" w:lineRule="auto"/>
        <w:ind w:left="360" w:right="120"/>
        <w:rPr>
          <w:rFonts w:ascii="Times New Roman" w:eastAsia="Times New Roman" w:hAnsi="Times New Roman" w:cs="Times New Roman"/>
          <w:color w:val="B20000"/>
          <w:sz w:val="29"/>
          <w:szCs w:val="29"/>
          <w:lang w:eastAsia="ru-RU"/>
        </w:rPr>
      </w:pPr>
      <w:r w:rsidRPr="00677AC3">
        <w:rPr>
          <w:rFonts w:ascii="Times New Roman" w:eastAsia="Times New Roman" w:hAnsi="Times New Roman" w:cs="Times New Roman"/>
          <w:color w:val="B20000"/>
          <w:sz w:val="29"/>
          <w:szCs w:val="29"/>
          <w:lang w:eastAsia="ru-RU"/>
        </w:rPr>
        <w:t xml:space="preserve">Для пациентов с генотипом 1 HCV-инфекции, предварительное лечение с неструктурный белка 5А (NS5A) ингибитор, содержащий схему не удалось, и которые имеют цирроз или требующих срочного перелечивание, предварительной обработки тестирование для сопротивления ассоциированных вариантов, которые придают снижение восприимчивости к ингибиторам протеазы NS3 и NS5A ингибиторы рекомендуется (для получения более подробной информации см </w:t>
      </w:r>
      <w:hyperlink r:id="rId9" w:anchor="gt1-ns5a" w:tgtFrame="_self" w:history="1">
        <w:r w:rsidRPr="00677AC3">
          <w:rPr>
            <w:rFonts w:ascii="Times New Roman" w:eastAsia="Times New Roman" w:hAnsi="Times New Roman" w:cs="Times New Roman"/>
            <w:color w:val="0000FF"/>
            <w:sz w:val="29"/>
            <w:szCs w:val="29"/>
            <w:u w:val="single"/>
            <w:lang w:eastAsia="ru-RU"/>
          </w:rPr>
          <w:t>Регенерация</w:t>
        </w:r>
      </w:hyperlink>
      <w:r w:rsidRPr="00677AC3">
        <w:rPr>
          <w:rFonts w:ascii="Times New Roman" w:eastAsia="Times New Roman" w:hAnsi="Times New Roman" w:cs="Times New Roman"/>
          <w:color w:val="B20000"/>
          <w:sz w:val="29"/>
          <w:szCs w:val="29"/>
          <w:lang w:eastAsia="ru-RU"/>
        </w:rPr>
        <w:t xml:space="preserve"> раздел)</w:t>
      </w:r>
    </w:p>
    <w:p w:rsidR="00677AC3" w:rsidRPr="00677AC3" w:rsidRDefault="00677AC3" w:rsidP="00677AC3">
      <w:pPr>
        <w:numPr>
          <w:ilvl w:val="0"/>
          <w:numId w:val="3"/>
        </w:numPr>
        <w:shd w:val="clear" w:color="auto" w:fill="F4E5E5"/>
        <w:spacing w:after="120" w:line="240" w:lineRule="auto"/>
        <w:ind w:left="360" w:right="120"/>
        <w:rPr>
          <w:rFonts w:ascii="Times New Roman" w:eastAsia="Times New Roman" w:hAnsi="Times New Roman" w:cs="Times New Roman"/>
          <w:color w:val="B20000"/>
          <w:sz w:val="29"/>
          <w:szCs w:val="29"/>
          <w:lang w:eastAsia="ru-RU"/>
        </w:rPr>
      </w:pPr>
      <w:r w:rsidRPr="00677AC3">
        <w:rPr>
          <w:rFonts w:ascii="Times New Roman" w:eastAsia="Times New Roman" w:hAnsi="Times New Roman" w:cs="Times New Roman"/>
          <w:color w:val="B20000"/>
          <w:sz w:val="29"/>
          <w:szCs w:val="29"/>
          <w:lang w:eastAsia="ru-RU"/>
        </w:rPr>
        <w:t xml:space="preserve">Для пациентов с генотипом 1а инфекции с циррозом, которые лечение наивный или чьи предшествующее лечение ПЭГ-ИФН и рибавирином не удалось, и которые рассматриваются для лечения с simeprevir и софосбувир, предварительная проверка для варианта Q80K NS3 рекомендуется (для получения более подробной информации, см </w:t>
      </w:r>
      <w:hyperlink r:id="rId10" w:anchor="gt1-cirrhosis" w:tgtFrame="_self" w:history="1">
        <w:r w:rsidRPr="00677AC3">
          <w:rPr>
            <w:rFonts w:ascii="Times New Roman" w:eastAsia="Times New Roman" w:hAnsi="Times New Roman" w:cs="Times New Roman"/>
            <w:color w:val="0000FF"/>
            <w:sz w:val="29"/>
            <w:szCs w:val="29"/>
            <w:u w:val="single"/>
            <w:lang w:eastAsia="ru-RU"/>
          </w:rPr>
          <w:t>начальное лечение</w:t>
        </w:r>
      </w:hyperlink>
      <w:r w:rsidRPr="00677AC3">
        <w:rPr>
          <w:rFonts w:ascii="Times New Roman" w:eastAsia="Times New Roman" w:hAnsi="Times New Roman" w:cs="Times New Roman"/>
          <w:color w:val="B20000"/>
          <w:sz w:val="29"/>
          <w:szCs w:val="29"/>
          <w:lang w:eastAsia="ru-RU"/>
        </w:rPr>
        <w:t xml:space="preserve"> или </w:t>
      </w:r>
      <w:hyperlink r:id="rId11" w:anchor="gt1-cirrhosis" w:tgtFrame="_self" w:history="1">
        <w:r w:rsidRPr="00677AC3">
          <w:rPr>
            <w:rFonts w:ascii="Times New Roman" w:eastAsia="Times New Roman" w:hAnsi="Times New Roman" w:cs="Times New Roman"/>
            <w:color w:val="0000FF"/>
            <w:sz w:val="29"/>
            <w:szCs w:val="29"/>
            <w:u w:val="single"/>
            <w:lang w:eastAsia="ru-RU"/>
          </w:rPr>
          <w:t>повторное лечение</w:t>
        </w:r>
      </w:hyperlink>
      <w:r w:rsidRPr="00677AC3">
        <w:rPr>
          <w:rFonts w:ascii="Times New Roman" w:eastAsia="Times New Roman" w:hAnsi="Times New Roman" w:cs="Times New Roman"/>
          <w:color w:val="B20000"/>
          <w:sz w:val="29"/>
          <w:szCs w:val="29"/>
          <w:lang w:eastAsia="ru-RU"/>
        </w:rPr>
        <w:t xml:space="preserve"> разделы)</w:t>
      </w:r>
    </w:p>
    <w:p w:rsidR="00677AC3" w:rsidRPr="00677AC3" w:rsidRDefault="00677AC3" w:rsidP="00677AC3">
      <w:pPr>
        <w:shd w:val="clear" w:color="auto" w:fill="F4E5E5"/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7A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677A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IIb, уровень С</w:t>
      </w:r>
    </w:p>
    <w:p w:rsidR="00677AC3" w:rsidRPr="00677AC3" w:rsidRDefault="00677AC3" w:rsidP="00677A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7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Пациенты, у которых лечение не удалось достичь УВО остается в опасности для постоянного повреждения печени и прогрессирования фиброза печени. (Dienstag 2011) Таким образом, пациенты, у которых лечение не должны контролироваться для признаков и симптомов цирроза печени. Там в настоящее время нет убедительных доказательств того, что отказ от противовирусных результатов лечения </w:t>
      </w:r>
      <w:proofErr w:type="gramStart"/>
      <w:r w:rsidRPr="00677AC3">
        <w:rPr>
          <w:rFonts w:ascii="Times New Roman" w:eastAsia="Times New Roman" w:hAnsi="Times New Roman" w:cs="Times New Roman"/>
          <w:sz w:val="24"/>
          <w:szCs w:val="24"/>
          <w:lang w:eastAsia="ru-RU"/>
        </w:rPr>
        <w:t>в более тяжелой травмы</w:t>
      </w:r>
      <w:proofErr w:type="gramEnd"/>
      <w:r w:rsidRPr="00677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печени или более быстро прогрессирующей болезни печени, чем произошло бы, если пациент не получил лечения.</w:t>
      </w:r>
    </w:p>
    <w:p w:rsidR="00677AC3" w:rsidRPr="00677AC3" w:rsidRDefault="00677AC3" w:rsidP="00677A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7AC3">
        <w:rPr>
          <w:rFonts w:ascii="Times New Roman" w:eastAsia="Times New Roman" w:hAnsi="Times New Roman" w:cs="Times New Roman"/>
          <w:sz w:val="24"/>
          <w:szCs w:val="24"/>
          <w:lang w:eastAsia="ru-RU"/>
        </w:rPr>
        <w:t>Небольшое количество пациентов, у которых начальная противовирусное лечение не удалось бы достичь УВО при лечении тех же препаратов на более длительный срок, или при обработке альтернативных противовирусных схем. (Lawitz, 2014A) Таким образом, пациенты, у которых лечение не удалось достичь УВО должны быть рассмотрены для лечения, когда альтернативные антивирусные режимы доступны. Советы врача, имеющего опыт в лечении гепатита С может быть полезным при рассмотрении Повторный курс после неудачи терапии противовирусного.</w:t>
      </w:r>
    </w:p>
    <w:p w:rsidR="00677AC3" w:rsidRPr="00677AC3" w:rsidRDefault="00677AC3" w:rsidP="00677A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7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Пациенты, у которых противовирусная терапия не удалось достичь УВО может питать вирусы, которые устойчивы к 1 или более противовирусных препаратов на момент вирусологических ("прорыв". </w:t>
      </w:r>
      <w:hyperlink r:id="rId12" w:anchor="lawitz2014a" w:history="1">
        <w:r w:rsidRPr="00677AC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Lawitzs, </w:t>
        </w:r>
      </w:hyperlink>
      <w:r w:rsidRPr="00677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2014A); (Шнайдер, 2014) Однако, нет доказательств того, что наличие сопротивления связан варианты (RAVs) результатов </w:t>
      </w:r>
      <w:proofErr w:type="gramStart"/>
      <w:r w:rsidRPr="00677AC3">
        <w:rPr>
          <w:rFonts w:ascii="Times New Roman" w:eastAsia="Times New Roman" w:hAnsi="Times New Roman" w:cs="Times New Roman"/>
          <w:sz w:val="24"/>
          <w:szCs w:val="24"/>
          <w:lang w:eastAsia="ru-RU"/>
        </w:rPr>
        <w:t>в более прогрессивной повреждения</w:t>
      </w:r>
      <w:proofErr w:type="gramEnd"/>
      <w:r w:rsidRPr="00677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печени, чем произошло бы, если пациент не имеет устойчивых вирусов. Наличие исходных RAVs в лечебно-наивным лиц не исключает достижения УВО с комбинированной прямого действия противовирусных препаратов. Кроме того, RAVs часто не обнаруживается с обычными (секвенирование населения) методов обнаружения, ни </w:t>
      </w:r>
      <w:proofErr w:type="gramStart"/>
      <w:r w:rsidRPr="00677AC3">
        <w:rPr>
          <w:rFonts w:ascii="Times New Roman" w:eastAsia="Times New Roman" w:hAnsi="Times New Roman" w:cs="Times New Roman"/>
          <w:sz w:val="24"/>
          <w:szCs w:val="24"/>
          <w:lang w:eastAsia="ru-RU"/>
        </w:rPr>
        <w:t>с более чувствительными испытаний</w:t>
      </w:r>
      <w:proofErr w:type="gramEnd"/>
      <w:r w:rsidRPr="00677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вариантов HCV, после пациенты наблюдались в течение нескольких месяцев. (Schneider, 2014) После повторного комбинированными противовирусными препаратами, особенно схем, содержащих противовирусные препараты, которые имеют высокий барьер к сопротивлению, такие как неструктурных белков 5B (NS5B) нуклеотидных ингибиторов полимеразы (например, софосбувир), может преодолеть наличие резистентности к 1 или больше противовирусные. Есть 2 ситуации, в которых базовый тестирование на RAVs рекомендуется при лечении ВГС генотипа 1 инфекции. Во-первых, для тех пациентов, у которых до лечения с NS5A содержащей ингибитор не удалось, и у кого есть цирроз или требуют срочного перелечивание, тестирование на RAVs, которые придают снизилась чувствительность к ингибиторам протеазы NS3 (например, Q80K) и ингибиторов NS5A должны быть выполнены с использованием коммерчески доступных анализах. В пилотном исследовании 41 пациентов с или без цирроза, которые не достижения УВО с 8 недель или 12 недель терапии с ежедневной фиксированной комбинации доз ledipasvir (90 мг) и софосбувир (400 мг) (далее ledipasvir / софосбувир) которые отошли с 24 недель ledipasvir / софосбувир, темпы УВО через 12 недель изменяться в зависимости от наличия или отсутствия ингибиторов NS5A RAVs. Среди 11 пациентов, у которых ингибитор NS5A RAVs не были обнаружены, СВР произошло в 11 из 11 (100%); </w:t>
      </w:r>
      <w:proofErr w:type="gramStart"/>
      <w:r w:rsidRPr="00677AC3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677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отличие от этого, среди 30 больных, у которых были обнаружены ингибитор NS5A RAVs, СВР произошло в 18 30 (60%). Важно отметить, что ингибитор NS5B RAVs (например, S282T), как известно, придают снизилась активность софосбувир наблюдались у 3 из 12 (25%) пациентов, для которых режим повторного успеха не имела. Дополнительное нахождение Q80K вариант имеет последствия для режима повторного лечения, выбранной для этих пациентов (см </w:t>
      </w:r>
      <w:hyperlink r:id="rId13" w:anchor="gt1-cirrhosis-txt" w:tgtFrame="_self" w:history="1">
        <w:r w:rsidRPr="00677AC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Регенерация</w:t>
        </w:r>
      </w:hyperlink>
      <w:r w:rsidRPr="00677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раздел). Во-вторых, для лечения наивный больных или тех, кто пережил с ПЭГ-ИФН и рибавирина, которые имеют генотип ВГС 1а инфекции и цирроз печени, тестирование для Q80K NS3 RAV рекомендуется при simeprevir и софосбувир рассматриваются в качестве лечения. В ОПТИМИСТ-2 исследования, в которых пациенты с циррозом печени лечили simeprevir и софосбувир, наличие NS3 RAVs, в частности, Q80K полиморфизма, была связана с уменьшением скорости СВР. СВР произошло в 25 из 34 (74%) пациентов с генотипом 1а инфекции и </w:t>
      </w:r>
      <w:proofErr w:type="gramStart"/>
      <w:r w:rsidRPr="00677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Q80K RAV </w:t>
      </w:r>
      <w:proofErr w:type="gramEnd"/>
      <w:r w:rsidRPr="00677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35 из 38 (92%) пациентов с генотипом 1а инфекции без Q80K RAV (см </w:t>
      </w:r>
      <w:hyperlink r:id="rId14" w:anchor="gt1-cirrhosis-txt" w:tgtFrame="_self" w:history="1">
        <w:r w:rsidRPr="00677AC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первоначального лечения</w:t>
        </w:r>
      </w:hyperlink>
      <w:r w:rsidRPr="00677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</w:t>
      </w:r>
      <w:hyperlink r:id="rId15" w:anchor="gt1-cirrhosis-txt2" w:tgtFrame="_self" w:history="1">
        <w:r w:rsidRPr="00677AC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повторного лечения</w:t>
        </w:r>
      </w:hyperlink>
      <w:r w:rsidRPr="00677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разделы).</w:t>
      </w:r>
    </w:p>
    <w:p w:rsidR="00677AC3" w:rsidRPr="00677AC3" w:rsidRDefault="00677AC3" w:rsidP="00677A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7AC3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остается неопределенность в отношении применимости RAV тестирования, консультации с экспертом в лечении гепатита С может быть полезен.</w:t>
      </w:r>
    </w:p>
    <w:p w:rsidR="00677AC3" w:rsidRPr="00677AC3" w:rsidRDefault="00677AC3" w:rsidP="00677AC3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145314"/>
          <w:sz w:val="26"/>
          <w:szCs w:val="26"/>
          <w:lang w:eastAsia="ru-RU"/>
        </w:rPr>
      </w:pPr>
      <w:r w:rsidRPr="00677AC3">
        <w:rPr>
          <w:rFonts w:ascii="Times New Roman" w:eastAsia="Times New Roman" w:hAnsi="Times New Roman" w:cs="Times New Roman"/>
          <w:b/>
          <w:bCs/>
          <w:i/>
          <w:iCs/>
          <w:color w:val="145314"/>
          <w:sz w:val="26"/>
          <w:szCs w:val="26"/>
          <w:lang w:eastAsia="ru-RU"/>
        </w:rPr>
        <w:t>Рекомендуем наблюдения для пациентов, которые достигли устойчивого вирусологического ответа (УВО).</w:t>
      </w:r>
    </w:p>
    <w:p w:rsidR="00677AC3" w:rsidRPr="00677AC3" w:rsidRDefault="00677AC3" w:rsidP="00677AC3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677AC3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Для пациентов, которые не имеют фиброза (то есть те, с METAVIR стадии F0-F2), рекомендуется итогам то же самое, как если бы они никогда не были инфицированы ВГС.</w:t>
      </w:r>
    </w:p>
    <w:p w:rsidR="00677AC3" w:rsidRPr="00677AC3" w:rsidRDefault="00677AC3" w:rsidP="00677AC3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7A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677A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I, уровень В</w:t>
      </w:r>
    </w:p>
    <w:p w:rsidR="00677AC3" w:rsidRPr="00677AC3" w:rsidRDefault="00677AC3" w:rsidP="00677AC3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677AC3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Оценка рецидива гепатита или реинфекции рекомендуется только, если пациент имеет постоянный риск инфицирования ВГС или иным необъяснимые печеночной дисфункции развивается. В таких случаях, количественный анализ РНК ВГС, чем тест серологические анти-ВГС рекомендуется проверить рецидива гепатита или реинфекции.</w:t>
      </w:r>
    </w:p>
    <w:p w:rsidR="00677AC3" w:rsidRPr="00677AC3" w:rsidRDefault="00677AC3" w:rsidP="00677AC3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7A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677A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I, уровень А</w:t>
      </w:r>
    </w:p>
    <w:p w:rsidR="00677AC3" w:rsidRPr="00677AC3" w:rsidRDefault="00677AC3" w:rsidP="00677AC3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677AC3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 xml:space="preserve">Надзор </w:t>
      </w:r>
      <w:proofErr w:type="gramStart"/>
      <w:r w:rsidRPr="00677AC3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за гепатоцеллюлярной карциномы</w:t>
      </w:r>
      <w:proofErr w:type="gramEnd"/>
      <w:r w:rsidRPr="00677AC3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 xml:space="preserve"> с два раза в год испытания ультразвукового рекомендуется для пациентов с фиброзом (т.е. METAVIR этап F3 или F4), который достижения УВО.</w:t>
      </w:r>
    </w:p>
    <w:p w:rsidR="00677AC3" w:rsidRPr="00677AC3" w:rsidRDefault="00677AC3" w:rsidP="00677AC3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7A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677A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I, уровень С</w:t>
      </w:r>
    </w:p>
    <w:p w:rsidR="00677AC3" w:rsidRPr="00677AC3" w:rsidRDefault="00677AC3" w:rsidP="00677AC3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677AC3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Базовый эндоскопия рекомендуется для скрининга варикозно-расширенных вен, если цирроз печени присутствует. Пациенты, у которых найдены варикоз надо лечить и последовали, как указано.</w:t>
      </w:r>
    </w:p>
    <w:p w:rsidR="00677AC3" w:rsidRPr="00677AC3" w:rsidRDefault="00677AC3" w:rsidP="00677AC3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7A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677A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I, уровень С</w:t>
      </w:r>
    </w:p>
    <w:p w:rsidR="00677AC3" w:rsidRPr="00677AC3" w:rsidRDefault="00677AC3" w:rsidP="00677AC3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677AC3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Оценка других причин заболевания печени рекомендуется для пациентов, которые разрабатывают упорно аномальные печени тестов после достижения УВО.</w:t>
      </w:r>
    </w:p>
    <w:p w:rsidR="00677AC3" w:rsidRPr="00677AC3" w:rsidRDefault="00677AC3" w:rsidP="00677AC3">
      <w:pPr>
        <w:shd w:val="clear" w:color="auto" w:fill="FFFAF6"/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7A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677A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I, уровень С</w:t>
      </w:r>
    </w:p>
    <w:p w:rsidR="00677AC3" w:rsidRPr="00677AC3" w:rsidRDefault="00677AC3" w:rsidP="00677A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7AC3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появлением высокоэффективных противовирусных HCV схем, вероятность достижения УВО среди прикрепленных, иммунологически компетентных, нелеченных пациентов с компенсированным заболеванием печени, как правило, превышает 90%. Из пациентов, достигших УВО с ПЭГ-ИФН и рибавирин, более 99% из них оставались свободными от инфекции HCV, когда следует в течение 5 лет после завершения лечения. (Маннс 2013) Таким образом, достижение устойчивого вирусологического ответа считается вирусологический лечения инфекции HCV.</w:t>
      </w:r>
    </w:p>
    <w:p w:rsidR="00677AC3" w:rsidRPr="00677AC3" w:rsidRDefault="00677AC3" w:rsidP="00677A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7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СВР, как правило, прерывает прогрессирование поражения печени с регрессом фиброза печени в большинстве, но не во всех пациентов. (Morisco 2013); (Морган 2010); (Джордж 2009); (Морган, 2013); (Сингал </w:t>
      </w:r>
      <w:hyperlink r:id="rId16" w:anchor="singal2010" w:history="1">
        <w:r w:rsidRPr="00677AC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2010) Из-за отсутствия прогрессирования у пациентов без фиброза печени (например, METAVIR этап F0-F2), которые достичь СВР должны получить стандартное медицинское обслуживание, которое рекомендуется для пациентов, которые никогда не были инфицированы ВГС.</w:t>
        </w:r>
      </w:hyperlink>
    </w:p>
    <w:p w:rsidR="00677AC3" w:rsidRPr="00677AC3" w:rsidRDefault="00677AC3" w:rsidP="00677A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7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Среди пациентов с выраженным фиброзом печени (например, METAVIR этап F3 или F4), который достижения УВО, декомпенсированные заболевания печени (за исключением гепатоцеллюлярной карциномы) редко развивается во время наблюдения, и общая выживаемость продлевается. (Morisco 2013); (Морган 2010); (Джордж 2009); (Морган, 2013); (Сингал, </w:t>
      </w:r>
      <w:hyperlink r:id="rId17" w:anchor="singal2010" w:history="1">
        <w:r w:rsidRPr="00677AC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2010) Пациенты, которые фиброз или цирроз-прежнему в опасности для развития гепатоцеллюлярной карциномы после достижения УВО, хотя риск у этих пациентов ниже, чем риск в постоянно виремичными пациентов. </w:t>
        </w:r>
      </w:hyperlink>
      <w:r w:rsidRPr="00677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(Morisco 2013); (Морган 2010); (Джордж 2009); (Морган, 2013); (Сингал, 2010) Пациенты с циррозом печени, которые достигают УВО опыт увеличился выживание (по сравнению с пациентами с циррозом, которые без лечения или в которых лечение не), но все еще ​​может быть в какой-то опасности для гепатоцеллюлярной карциномы; Таким образом, они должны продолжать регулярное наблюдение пройти для гепатоцеллюлярной карциномы, несмотря на снижение риска, что приводит </w:t>
      </w:r>
      <w:proofErr w:type="gramStart"/>
      <w:r w:rsidRPr="00677AC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вирусной искоренения</w:t>
      </w:r>
      <w:proofErr w:type="gramEnd"/>
      <w:r w:rsidRPr="00677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(Bruix 2011) Риск гепатоцеллюлярной карциномы у пациентов с фиброзом до лечения, но имеющие регрессии </w:t>
      </w:r>
      <w:proofErr w:type="gramStart"/>
      <w:r w:rsidRPr="00677AC3">
        <w:rPr>
          <w:rFonts w:ascii="Times New Roman" w:eastAsia="Times New Roman" w:hAnsi="Times New Roman" w:cs="Times New Roman"/>
          <w:sz w:val="24"/>
          <w:szCs w:val="24"/>
          <w:lang w:eastAsia="ru-RU"/>
        </w:rPr>
        <w:t>к минимальной фиброза</w:t>
      </w:r>
      <w:proofErr w:type="gramEnd"/>
      <w:r w:rsidRPr="00677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после лечения не известны. При отсутствии данных в обратном, такие пациенты остаются на некотором риске для гепатоцеллюлярной карциномы и должны быть проверены с регулярными интервалами для гепатоцеллюлярной карциномы.</w:t>
      </w:r>
    </w:p>
    <w:p w:rsidR="00677AC3" w:rsidRPr="00677AC3" w:rsidRDefault="00677AC3" w:rsidP="00677A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7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Результаты фиброз печени и функции печени испытаний улучшить у большинства пациентов, которые достигли устойчивого вирусологического ответа. (Morisco 2013); (Морган 2010); (Джордж 2009); (Морган, 2013); (Сингал </w:t>
      </w:r>
      <w:hyperlink r:id="rId18" w:anchor="singal2010" w:history="1">
        <w:r w:rsidRPr="00677AC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2010) Кровотечение из варикозно расширенных вен пищевода является редким после СВР. </w:t>
        </w:r>
      </w:hyperlink>
      <w:r w:rsidRPr="00677AC3">
        <w:rPr>
          <w:rFonts w:ascii="Times New Roman" w:eastAsia="Times New Roman" w:hAnsi="Times New Roman" w:cs="Times New Roman"/>
          <w:sz w:val="24"/>
          <w:szCs w:val="24"/>
          <w:lang w:eastAsia="ru-RU"/>
        </w:rPr>
        <w:t>(Morisco 2013); (Морган 2010); (Джордж 2009); (Морган, 2013); (Сингал, 2010) Пациенты с циррозом печени должны получать обычную эндоскопию наблюдения для обнаружения вен пищевода, если не было сделано ранее, и они должны быть обработаны или последовать, как указано. (Гарсия-Цао 2007)</w:t>
      </w:r>
    </w:p>
    <w:p w:rsidR="00677AC3" w:rsidRPr="00677AC3" w:rsidRDefault="00677AC3" w:rsidP="00677A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7AC3">
        <w:rPr>
          <w:rFonts w:ascii="Times New Roman" w:eastAsia="Times New Roman" w:hAnsi="Times New Roman" w:cs="Times New Roman"/>
          <w:sz w:val="24"/>
          <w:szCs w:val="24"/>
          <w:lang w:eastAsia="ru-RU"/>
        </w:rPr>
        <w:t>Пациенты, у которых СВР достигается, но которые имеют еще одну потенциальную причину болезни печени (например, чрезмерное употребление алкоголя, метаболического синдрома, с или без доказано жировой болезни печени, или перегрузки железом) остаются на риск прогрессирования фиброза. Рекомендуется, что такие пациенты быть осведомлены о риске заболевания печени и мониторинг прогрессирования заболевания печени с периодическими медосмотров, анализов крови, и, возможно, тесты фиброза печени у специалиста заболевания печени.</w:t>
      </w:r>
    </w:p>
    <w:p w:rsidR="00677AC3" w:rsidRPr="00677AC3" w:rsidRDefault="00677AC3" w:rsidP="00677A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7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Периодически тестирования пациентов с постоянной опасности заражения ВГС (например, незаконное употребление наркотиков, рискованное сексуальное воздействия) для повторного заражения ВГС рекомендуется. Вспышки результатов испытаний ферментов печени должно побудить оценку возможного De Novo реинфекции HCV с помощью новой экспозиции (см </w:t>
      </w:r>
      <w:hyperlink r:id="rId19" w:history="1">
        <w:r w:rsidRPr="00677AC3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 xml:space="preserve">Управление Острая </w:t>
        </w:r>
      </w:hyperlink>
      <w:r w:rsidRPr="00677AC3">
        <w:rPr>
          <w:rFonts w:ascii="Times New Roman" w:eastAsia="Times New Roman" w:hAnsi="Times New Roman" w:cs="Times New Roman"/>
          <w:sz w:val="24"/>
          <w:szCs w:val="24"/>
          <w:lang w:eastAsia="ru-RU"/>
        </w:rPr>
        <w:t>HCV-инфекции). Антитела к HCV (анти-HCV) остается положительным у большинства пациентов с УВО следующих. Таким образом, тестирование на ВГС реинфекции рекомендуется и должна быть выполнена с помощью анализа, который обнаруживает РНК ВГС (например, количественный тест ВГС РНК).</w:t>
      </w:r>
    </w:p>
    <w:p w:rsidR="00677AC3" w:rsidRPr="00677AC3" w:rsidRDefault="00677AC3" w:rsidP="00677AC3">
      <w:pPr>
        <w:shd w:val="clear" w:color="auto" w:fill="F4E5E5"/>
        <w:spacing w:after="12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77AC3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ru-RU"/>
        </w:rPr>
        <w:t>Мониторинг ВГС во время химиотерапии и иммуносупрессии.</w:t>
      </w:r>
    </w:p>
    <w:p w:rsidR="00677AC3" w:rsidRPr="00677AC3" w:rsidRDefault="00677AC3" w:rsidP="00677AC3">
      <w:pPr>
        <w:shd w:val="clear" w:color="auto" w:fill="F4E5E5"/>
        <w:spacing w:after="120" w:line="240" w:lineRule="auto"/>
        <w:rPr>
          <w:rFonts w:ascii="Times New Roman" w:eastAsia="Times New Roman" w:hAnsi="Times New Roman" w:cs="Times New Roman"/>
          <w:color w:val="B20000"/>
          <w:sz w:val="29"/>
          <w:szCs w:val="29"/>
          <w:lang w:eastAsia="ru-RU"/>
        </w:rPr>
      </w:pPr>
      <w:r w:rsidRPr="00677AC3">
        <w:rPr>
          <w:rFonts w:ascii="Times New Roman" w:eastAsia="Times New Roman" w:hAnsi="Times New Roman" w:cs="Times New Roman"/>
          <w:b/>
          <w:bCs/>
          <w:color w:val="B20000"/>
          <w:sz w:val="29"/>
          <w:szCs w:val="29"/>
          <w:lang w:eastAsia="ru-RU"/>
        </w:rPr>
        <w:t>НЕ рекомендуется регулярно Предполагаемый мониторинга рецидива гепатита среди пациентов, которые достигли устойчивого вирусологического ответа и которые получают иммуносупрессивную терапию (например, системных кортикостероидов, антиметаболитов, химиотерапия, и т.д.).</w:t>
      </w:r>
    </w:p>
    <w:p w:rsidR="00677AC3" w:rsidRPr="00677AC3" w:rsidRDefault="00677AC3" w:rsidP="00677AC3">
      <w:pPr>
        <w:shd w:val="clear" w:color="auto" w:fill="F4E5E5"/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7A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677A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III, уровень С</w:t>
      </w:r>
    </w:p>
    <w:p w:rsidR="00677AC3" w:rsidRPr="00677AC3" w:rsidRDefault="00677AC3" w:rsidP="00677A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7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Острое повреждение печени распространена среди пациентов, получающих химиотерапию или иммунодепрессанты; Таким образом, тестирование на вирусы гепатита, должны быть включены в оценку лаборатории причиной повреждения печени. Тем не менее, в то время как люди с неактивной (без заметного вируса) или последний гепатита вирусной инфекции могут возникнуть реактивации и клинические признаки гепатита во время лечения иммунодепрессантами или химиотерапией, этого не происходит с гепатитом С. Хотя некоторые пациенты с активной инфекцией HCV, в первую очередь тех, кто гематологические злокачественности, может иметь вспышку </w:t>
      </w:r>
      <w:proofErr w:type="gramStart"/>
      <w:r w:rsidRPr="00677AC3">
        <w:rPr>
          <w:rFonts w:ascii="Times New Roman" w:eastAsia="Times New Roman" w:hAnsi="Times New Roman" w:cs="Times New Roman"/>
          <w:sz w:val="24"/>
          <w:szCs w:val="24"/>
          <w:lang w:eastAsia="ru-RU"/>
        </w:rPr>
        <w:t>в их ферментов</w:t>
      </w:r>
      <w:proofErr w:type="gramEnd"/>
      <w:r w:rsidRPr="00677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печени во время химиотерапии, это необычно. </w:t>
      </w:r>
      <w:hyperlink r:id="rId20" w:anchor="mahale2012" w:history="1">
        <w:r w:rsidRPr="00677AC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(Mahale</w:t>
        </w:r>
      </w:hyperlink>
      <w:r w:rsidRPr="00677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21" w:anchor="mahale2012" w:history="1">
        <w:r w:rsidRPr="00677AC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2012) Кроме того, реактивация перенесенной инфекции гепатита С, например, после СВР или спонтанного клиренса, не ожидается, так как нет никакого остаточного резервуар для вируса. </w:t>
        </w:r>
      </w:hyperlink>
      <w:r w:rsidRPr="00677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Таким образом, в этой последней группе, рутинное тестирование РНК ВГС во время лечения или иммуносупрессивной профилактического введения противовирусных препаратов </w:t>
      </w:r>
      <w:proofErr w:type="gramStart"/>
      <w:r w:rsidRPr="00677AC3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время</w:t>
      </w:r>
      <w:proofErr w:type="gramEnd"/>
      <w:r w:rsidRPr="00677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иммуносупрессивной терапии не рекомендуется.</w:t>
      </w:r>
    </w:p>
    <w:p w:rsidR="00677AC3" w:rsidRPr="00677AC3" w:rsidRDefault="00677AC3" w:rsidP="00677A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7AC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77AC3" w:rsidRPr="00677AC3" w:rsidRDefault="00677AC3" w:rsidP="00677A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7AC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Изменения, сделанные на этом участке 7 августа 2015.</w:t>
      </w:r>
    </w:p>
    <w:p w:rsidR="00677AC3" w:rsidRPr="00677AC3" w:rsidRDefault="00677AC3" w:rsidP="00677AC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2" w:tooltip="Отображение версию для печати этой страницы." w:history="1">
        <w:r w:rsidRPr="00677AC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Версия для печати</w:t>
        </w:r>
      </w:hyperlink>
    </w:p>
    <w:p w:rsidR="00677AC3" w:rsidRPr="00677AC3" w:rsidRDefault="00677AC3" w:rsidP="00677AC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3" w:tooltip="Отображение PDF версию этой страницы." w:history="1">
        <w:r w:rsidRPr="00677AC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PDF версия</w:t>
        </w:r>
      </w:hyperlink>
    </w:p>
    <w:p w:rsidR="00677AC3" w:rsidRPr="00677AC3" w:rsidRDefault="00677AC3" w:rsidP="00677AC3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677AC3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677AC3" w:rsidRPr="00677AC3" w:rsidRDefault="00677AC3" w:rsidP="00677AC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677AC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Форма поиска</w:t>
      </w:r>
    </w:p>
    <w:p w:rsidR="00677AC3" w:rsidRPr="00677AC3" w:rsidRDefault="00677AC3" w:rsidP="00677A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7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Поиск </w:t>
      </w:r>
      <w:r w:rsidRPr="00677AC3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68.4pt;height:18.1pt" o:ole="">
            <v:imagedata r:id="rId24" o:title=""/>
          </v:shape>
          <w:control r:id="rId25" w:name="DefaultOcxName" w:shapeid="_x0000_i1029"/>
        </w:object>
      </w:r>
    </w:p>
    <w:p w:rsidR="00677AC3" w:rsidRPr="00677AC3" w:rsidRDefault="00677AC3" w:rsidP="00677AC3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677AC3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677AC3" w:rsidRPr="00677AC3" w:rsidRDefault="00677AC3" w:rsidP="00677AC3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677AC3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677AC3" w:rsidRPr="00677AC3" w:rsidRDefault="00677AC3" w:rsidP="00677AC3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677AC3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677AC3" w:rsidRPr="00677AC3" w:rsidRDefault="00677AC3" w:rsidP="00677AC3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77AC3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Партнером по сотрудничеству</w:t>
      </w:r>
    </w:p>
    <w:p w:rsidR="00677AC3" w:rsidRPr="00677AC3" w:rsidRDefault="00677AC3" w:rsidP="00677A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6" w:history="1">
        <w:r w:rsidRPr="00677AC3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fldChar w:fldCharType="begin"/>
        </w:r>
        <w:r w:rsidRPr="00677AC3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instrText xml:space="preserve"> INCLUDEPICTURE "http://www.hcvguidelines.org/sites/all/themes/aasld/images/ias-usa.png" \* MERGEFORMATINET </w:instrText>
        </w:r>
        <w:r w:rsidRPr="00677AC3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fldChar w:fldCharType="separate"/>
        </w:r>
        <w:r w:rsidRPr="00677AC3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pict>
            <v:shape id="_x0000_i1025" type="#_x0000_t75" alt="" href="http://www.iasusa.org/" style="width:127.55pt;height:28.6pt" o:button="t">
              <v:imagedata r:id="rId27" r:href="rId28"/>
            </v:shape>
          </w:pict>
        </w:r>
        <w:r w:rsidRPr="00677AC3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fldChar w:fldCharType="end"/>
        </w:r>
      </w:hyperlink>
    </w:p>
    <w:p w:rsidR="00677AC3" w:rsidRPr="00677AC3" w:rsidRDefault="00677AC3" w:rsidP="00677AC3">
      <w:pPr>
        <w:spacing w:before="120"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hyperlink r:id="rId29" w:tgtFrame="_blank" w:history="1">
        <w:r w:rsidRPr="00677AC3">
          <w:rPr>
            <w:rFonts w:ascii="Times New Roman" w:eastAsia="Times New Roman" w:hAnsi="Times New Roman" w:cs="Times New Roman"/>
            <w:b/>
            <w:bCs/>
            <w:color w:val="0000FF"/>
            <w:sz w:val="36"/>
            <w:szCs w:val="36"/>
            <w:u w:val="single"/>
            <w:lang w:eastAsia="ru-RU"/>
          </w:rPr>
          <w:t>Версия для печати полного отчета</w:t>
        </w:r>
      </w:hyperlink>
    </w:p>
    <w:p w:rsidR="00677AC3" w:rsidRPr="00677AC3" w:rsidRDefault="00677AC3" w:rsidP="00677AC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677AC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Полный отчет Меню</w:t>
      </w:r>
    </w:p>
    <w:p w:rsidR="00677AC3" w:rsidRPr="00677AC3" w:rsidRDefault="00677AC3" w:rsidP="00677AC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0" w:history="1">
        <w:r w:rsidRPr="00677AC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Полный отчет</w:t>
        </w:r>
      </w:hyperlink>
    </w:p>
    <w:p w:rsidR="00677AC3" w:rsidRPr="00677AC3" w:rsidRDefault="00677AC3" w:rsidP="00677AC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1" w:history="1">
        <w:r w:rsidRPr="00677AC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ВВЕДЕНИЕ</w:t>
        </w:r>
      </w:hyperlink>
    </w:p>
    <w:p w:rsidR="00677AC3" w:rsidRPr="00677AC3" w:rsidRDefault="00677AC3" w:rsidP="00677AC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2" w:history="1">
        <w:r w:rsidRPr="00677AC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МЕТОДЫ</w:t>
        </w:r>
      </w:hyperlink>
    </w:p>
    <w:p w:rsidR="00677AC3" w:rsidRPr="00677AC3" w:rsidRDefault="00677AC3" w:rsidP="00677AC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3" w:history="1">
        <w:r w:rsidRPr="00677AC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ВГС ТЕСТИРОВАНИЕ И СВЯЗЬ С CARE</w:t>
        </w:r>
      </w:hyperlink>
    </w:p>
    <w:p w:rsidR="00677AC3" w:rsidRPr="00677AC3" w:rsidRDefault="00677AC3" w:rsidP="00677AC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4" w:history="1">
        <w:r w:rsidRPr="00677AC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Когда и в кого начать лечение гепатита</w:t>
        </w:r>
      </w:hyperlink>
    </w:p>
    <w:p w:rsidR="00677AC3" w:rsidRPr="00677AC3" w:rsidRDefault="00677AC3" w:rsidP="00677AC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5" w:history="1">
        <w:r w:rsidRPr="00677AC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ОБЗОР СТОИМОСТИ, возмещение, и экономическая эффективность СООБРАЖЕНИЯ лечения гепатита С РЕЖИМА</w:t>
        </w:r>
      </w:hyperlink>
    </w:p>
    <w:p w:rsidR="00677AC3" w:rsidRPr="00677AC3" w:rsidRDefault="00677AC3" w:rsidP="00677AC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6" w:history="1">
        <w:r w:rsidRPr="00677AC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Начальное лечение гепатита С</w:t>
        </w:r>
      </w:hyperlink>
    </w:p>
    <w:p w:rsidR="00677AC3" w:rsidRPr="00677AC3" w:rsidRDefault="00677AC3" w:rsidP="00677AC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7" w:history="1">
        <w:r w:rsidRPr="00677AC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Регенерация лиц в КОГО предшествующей терапии не удалось</w:t>
        </w:r>
      </w:hyperlink>
    </w:p>
    <w:p w:rsidR="00677AC3" w:rsidRPr="00677AC3" w:rsidRDefault="00677AC3" w:rsidP="00677AC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8" w:history="1">
        <w:r w:rsidRPr="00677AC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Мониторинга пациентов, которые начинают лечения гепатита С, получают лечение, или пройти ТЕРАПИИ</w:t>
        </w:r>
      </w:hyperlink>
    </w:p>
    <w:p w:rsidR="00677AC3" w:rsidRPr="00677AC3" w:rsidRDefault="00677AC3" w:rsidP="00677AC3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9" w:history="1">
        <w:r w:rsidRPr="00677AC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Мониторинг Box. Резюме рекомендаций для мониторинга пациентов, которые начинают лечение гепатита, находятся на лечении</w:t>
        </w:r>
      </w:hyperlink>
    </w:p>
    <w:p w:rsidR="00677AC3" w:rsidRPr="00677AC3" w:rsidRDefault="00677AC3" w:rsidP="00677AC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0" w:history="1">
        <w:r w:rsidRPr="00677AC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УНИКАЛЬНЫЕ ПАЦИЕНТОВ НАСЕЛЕНИЯ: Пациенты с ВИЧ / ВГС ко-инфекции</w:t>
        </w:r>
      </w:hyperlink>
    </w:p>
    <w:p w:rsidR="00677AC3" w:rsidRPr="00677AC3" w:rsidRDefault="00677AC3" w:rsidP="00677AC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1" w:history="1">
        <w:r w:rsidRPr="00677AC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УНИКАЛЬНЫЕ ПАЦИЕНТОВ НАСЕЛЕНИЯ: Пациенты с декомпенсированным циррозом</w:t>
        </w:r>
      </w:hyperlink>
    </w:p>
    <w:p w:rsidR="00677AC3" w:rsidRPr="00677AC3" w:rsidRDefault="00677AC3" w:rsidP="00677AC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2" w:history="1">
        <w:r w:rsidRPr="00677AC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УНИКАЛЬНЫЕ ПАЦИЕНТОВ НАСЕЛЕНИЯ: Пациенты, которые разрабатывают рецидивирующей инфекции ВГС после трансплантации печени</w:t>
        </w:r>
      </w:hyperlink>
    </w:p>
    <w:p w:rsidR="00677AC3" w:rsidRPr="00677AC3" w:rsidRDefault="00677AC3" w:rsidP="00677AC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3" w:history="1">
        <w:r w:rsidRPr="00677AC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УНИКАЛЬНЫЕ ПАЦИЕНТОВ НАСЕЛЕНИЯ: Пациенты с почечной недостаточностью</w:t>
        </w:r>
      </w:hyperlink>
    </w:p>
    <w:p w:rsidR="00677AC3" w:rsidRPr="00677AC3" w:rsidRDefault="00677AC3" w:rsidP="00677AC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4" w:history="1">
        <w:r w:rsidRPr="00677AC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Лечение острых HCV-ИНФЕКЦИИ</w:t>
        </w:r>
      </w:hyperlink>
    </w:p>
    <w:p w:rsidR="00677AC3" w:rsidRPr="00677AC3" w:rsidRDefault="00677AC3" w:rsidP="00677AC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5" w:history="1">
        <w:r w:rsidRPr="00677AC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РЕКОМЕНДАЦИИ</w:t>
        </w:r>
      </w:hyperlink>
    </w:p>
    <w:p w:rsidR="00677AC3" w:rsidRPr="00677AC3" w:rsidRDefault="00677AC3" w:rsidP="00677AC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6" w:history="1">
        <w:r w:rsidRPr="00677AC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САЙТ ПОЛИТИКА</w:t>
        </w:r>
      </w:hyperlink>
    </w:p>
    <w:bookmarkEnd w:id="0"/>
    <w:p w:rsidR="00177FB2" w:rsidRDefault="00177FB2"/>
    <w:sectPr w:rsidR="00177F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F5639"/>
    <w:multiLevelType w:val="multilevel"/>
    <w:tmpl w:val="2772C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057AA4"/>
    <w:multiLevelType w:val="multilevel"/>
    <w:tmpl w:val="4F5C0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CA6B0C"/>
    <w:multiLevelType w:val="multilevel"/>
    <w:tmpl w:val="F19A4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35972D7"/>
    <w:multiLevelType w:val="multilevel"/>
    <w:tmpl w:val="D5DA8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D303709"/>
    <w:multiLevelType w:val="multilevel"/>
    <w:tmpl w:val="0AB2A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228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10B5"/>
    <w:rsid w:val="00177FB2"/>
    <w:rsid w:val="003910B5"/>
    <w:rsid w:val="00677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4FD33C-B56A-4233-996F-4C5B38C18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77AC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677AC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link w:val="40"/>
    <w:uiPriority w:val="9"/>
    <w:qFormat/>
    <w:rsid w:val="00677AC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77AC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77AC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77AC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printhtml">
    <w:name w:val="print_html"/>
    <w:basedOn w:val="a0"/>
    <w:rsid w:val="00677AC3"/>
  </w:style>
  <w:style w:type="character" w:styleId="a3">
    <w:name w:val="Hyperlink"/>
    <w:basedOn w:val="a0"/>
    <w:uiPriority w:val="99"/>
    <w:semiHidden/>
    <w:unhideWhenUsed/>
    <w:rsid w:val="00677AC3"/>
    <w:rPr>
      <w:color w:val="0000FF"/>
      <w:u w:val="single"/>
    </w:rPr>
  </w:style>
  <w:style w:type="character" w:customStyle="1" w:styleId="printpdf">
    <w:name w:val="print_pdf"/>
    <w:basedOn w:val="a0"/>
    <w:rsid w:val="00677AC3"/>
  </w:style>
  <w:style w:type="paragraph" w:styleId="a4">
    <w:name w:val="Normal (Web)"/>
    <w:basedOn w:val="a"/>
    <w:uiPriority w:val="99"/>
    <w:semiHidden/>
    <w:unhideWhenUsed/>
    <w:rsid w:val="00677A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677AC3"/>
    <w:rPr>
      <w:b/>
      <w:bCs/>
    </w:rPr>
  </w:style>
  <w:style w:type="character" w:styleId="a6">
    <w:name w:val="Emphasis"/>
    <w:basedOn w:val="a0"/>
    <w:uiPriority w:val="20"/>
    <w:qFormat/>
    <w:rsid w:val="00677AC3"/>
    <w:rPr>
      <w:i/>
      <w:iCs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677AC3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677AC3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677AC3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677AC3"/>
    <w:rPr>
      <w:rFonts w:ascii="Arial" w:eastAsia="Times New Roman" w:hAnsi="Arial" w:cs="Arial"/>
      <w:vanish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18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65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6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28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40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9429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994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2061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2035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0683572">
                                          <w:marLeft w:val="0"/>
                                          <w:marRight w:val="0"/>
                                          <w:marTop w:val="0"/>
                                          <w:marBottom w:val="480"/>
                                          <w:divBdr>
                                            <w:top w:val="single" w:sz="48" w:space="12" w:color="1B6F1B"/>
                                            <w:left w:val="single" w:sz="48" w:space="12" w:color="1B6F1B"/>
                                            <w:bottom w:val="single" w:sz="48" w:space="12" w:color="1B6F1B"/>
                                            <w:right w:val="single" w:sz="48" w:space="12" w:color="1B6F1B"/>
                                          </w:divBdr>
                                        </w:div>
                                        <w:div w:id="540748140">
                                          <w:marLeft w:val="0"/>
                                          <w:marRight w:val="0"/>
                                          <w:marTop w:val="0"/>
                                          <w:marBottom w:val="480"/>
                                          <w:divBdr>
                                            <w:top w:val="single" w:sz="48" w:space="12" w:color="1B6F1B"/>
                                            <w:left w:val="single" w:sz="48" w:space="12" w:color="1B6F1B"/>
                                            <w:bottom w:val="single" w:sz="48" w:space="12" w:color="1B6F1B"/>
                                            <w:right w:val="single" w:sz="48" w:space="12" w:color="1B6F1B"/>
                                          </w:divBdr>
                                        </w:div>
                                        <w:div w:id="478351477">
                                          <w:marLeft w:val="0"/>
                                          <w:marRight w:val="0"/>
                                          <w:marTop w:val="0"/>
                                          <w:marBottom w:val="480"/>
                                          <w:divBdr>
                                            <w:top w:val="single" w:sz="48" w:space="12" w:color="1B6F1B"/>
                                            <w:left w:val="single" w:sz="48" w:space="12" w:color="1B6F1B"/>
                                            <w:bottom w:val="single" w:sz="48" w:space="12" w:color="1B6F1B"/>
                                            <w:right w:val="single" w:sz="48" w:space="12" w:color="1B6F1B"/>
                                          </w:divBdr>
                                        </w:div>
                                        <w:div w:id="1748768661">
                                          <w:marLeft w:val="0"/>
                                          <w:marRight w:val="0"/>
                                          <w:marTop w:val="0"/>
                                          <w:marBottom w:val="480"/>
                                          <w:divBdr>
                                            <w:top w:val="single" w:sz="48" w:space="12" w:color="1B6F1B"/>
                                            <w:left w:val="single" w:sz="48" w:space="12" w:color="1B6F1B"/>
                                            <w:bottom w:val="single" w:sz="48" w:space="12" w:color="1B6F1B"/>
                                            <w:right w:val="single" w:sz="48" w:space="12" w:color="1B6F1B"/>
                                          </w:divBdr>
                                        </w:div>
                                        <w:div w:id="977298253">
                                          <w:marLeft w:val="0"/>
                                          <w:marRight w:val="0"/>
                                          <w:marTop w:val="480"/>
                                          <w:marBottom w:val="480"/>
                                          <w:divBdr>
                                            <w:top w:val="single" w:sz="48" w:space="12" w:color="E00000"/>
                                            <w:left w:val="single" w:sz="48" w:space="12" w:color="E00000"/>
                                            <w:bottom w:val="single" w:sz="48" w:space="12" w:color="E00000"/>
                                            <w:right w:val="single" w:sz="48" w:space="12" w:color="E00000"/>
                                          </w:divBdr>
                                        </w:div>
                                        <w:div w:id="519706807">
                                          <w:marLeft w:val="0"/>
                                          <w:marRight w:val="0"/>
                                          <w:marTop w:val="0"/>
                                          <w:marBottom w:val="480"/>
                                          <w:divBdr>
                                            <w:top w:val="single" w:sz="48" w:space="12" w:color="1B6F1B"/>
                                            <w:left w:val="single" w:sz="48" w:space="12" w:color="1B6F1B"/>
                                            <w:bottom w:val="single" w:sz="48" w:space="12" w:color="1B6F1B"/>
                                            <w:right w:val="single" w:sz="48" w:space="12" w:color="1B6F1B"/>
                                          </w:divBdr>
                                        </w:div>
                                        <w:div w:id="1186795464">
                                          <w:marLeft w:val="0"/>
                                          <w:marRight w:val="0"/>
                                          <w:marTop w:val="480"/>
                                          <w:marBottom w:val="480"/>
                                          <w:divBdr>
                                            <w:top w:val="single" w:sz="48" w:space="12" w:color="E00000"/>
                                            <w:left w:val="single" w:sz="48" w:space="12" w:color="E00000"/>
                                            <w:bottom w:val="single" w:sz="48" w:space="12" w:color="E00000"/>
                                            <w:right w:val="single" w:sz="48" w:space="12" w:color="E00000"/>
                                          </w:divBdr>
                                        </w:div>
                                        <w:div w:id="2085489974">
                                          <w:marLeft w:val="0"/>
                                          <w:marRight w:val="0"/>
                                          <w:marTop w:val="0"/>
                                          <w:marBottom w:val="480"/>
                                          <w:divBdr>
                                            <w:top w:val="single" w:sz="48" w:space="12" w:color="1B6F1B"/>
                                            <w:left w:val="single" w:sz="48" w:space="12" w:color="1B6F1B"/>
                                            <w:bottom w:val="single" w:sz="48" w:space="12" w:color="1B6F1B"/>
                                            <w:right w:val="single" w:sz="48" w:space="12" w:color="1B6F1B"/>
                                          </w:divBdr>
                                        </w:div>
                                        <w:div w:id="1495342787">
                                          <w:marLeft w:val="0"/>
                                          <w:marRight w:val="0"/>
                                          <w:marTop w:val="480"/>
                                          <w:marBottom w:val="480"/>
                                          <w:divBdr>
                                            <w:top w:val="single" w:sz="48" w:space="12" w:color="E00000"/>
                                            <w:left w:val="single" w:sz="48" w:space="12" w:color="E00000"/>
                                            <w:bottom w:val="single" w:sz="48" w:space="12" w:color="E00000"/>
                                            <w:right w:val="single" w:sz="48" w:space="12" w:color="E00000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118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11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477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699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093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67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6188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1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886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371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87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3879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8466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4598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9501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5888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422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cvguidelines.org/node/91" TargetMode="External"/><Relationship Id="rId13" Type="http://schemas.openxmlformats.org/officeDocument/2006/relationships/hyperlink" Target="http://www.hcvguidelines.org/node/73" TargetMode="External"/><Relationship Id="rId18" Type="http://schemas.openxmlformats.org/officeDocument/2006/relationships/hyperlink" Target="http://www.hcvguidelines.org/full-report/references" TargetMode="External"/><Relationship Id="rId26" Type="http://schemas.openxmlformats.org/officeDocument/2006/relationships/hyperlink" Target="http://www.iasusa.org" TargetMode="External"/><Relationship Id="rId39" Type="http://schemas.openxmlformats.org/officeDocument/2006/relationships/hyperlink" Target="http://www.hcvguidelines.org/full-report/monitoring-box-summary-recommendations-monitoring-patients-who-are-starting-hcv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hcvguidelines.org/full-report/references" TargetMode="External"/><Relationship Id="rId34" Type="http://schemas.openxmlformats.org/officeDocument/2006/relationships/hyperlink" Target="http://www.hcvguidelines.org/full-report/when-and-whom-initiate-hcv-therapy" TargetMode="External"/><Relationship Id="rId42" Type="http://schemas.openxmlformats.org/officeDocument/2006/relationships/hyperlink" Target="http://www.hcvguidelines.org/full-report/unique-patient-populations-patients-who-develop-recurrent-hcv-infection-post%E2%80%93liver" TargetMode="External"/><Relationship Id="rId47" Type="http://schemas.openxmlformats.org/officeDocument/2006/relationships/fontTable" Target="fontTable.xml"/><Relationship Id="rId7" Type="http://schemas.openxmlformats.org/officeDocument/2006/relationships/hyperlink" Target="http://www.hcvguidelines.org/node/11" TargetMode="External"/><Relationship Id="rId12" Type="http://schemas.openxmlformats.org/officeDocument/2006/relationships/hyperlink" Target="http://www.hcvguidelines.org/full-report/references" TargetMode="External"/><Relationship Id="rId17" Type="http://schemas.openxmlformats.org/officeDocument/2006/relationships/hyperlink" Target="http://www.hcvguidelines.org/full-report/references" TargetMode="External"/><Relationship Id="rId25" Type="http://schemas.openxmlformats.org/officeDocument/2006/relationships/control" Target="activeX/activeX1.xml"/><Relationship Id="rId33" Type="http://schemas.openxmlformats.org/officeDocument/2006/relationships/hyperlink" Target="http://www.hcvguidelines.org/full-report/hcv-testing-and-linkage-care" TargetMode="External"/><Relationship Id="rId38" Type="http://schemas.openxmlformats.org/officeDocument/2006/relationships/hyperlink" Target="http://www.hcvguidelines.org/full-report/monitoring-patients-who-are-starting-hepatitis-c-treatment-are-treatment-or-have" TargetMode="External"/><Relationship Id="rId46" Type="http://schemas.openxmlformats.org/officeDocument/2006/relationships/hyperlink" Target="http://www.hcvguidelines.org/full-report/website-policies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hcvguidelines.org/full-report/references" TargetMode="External"/><Relationship Id="rId20" Type="http://schemas.openxmlformats.org/officeDocument/2006/relationships/hyperlink" Target="http://www.hcvguidelines.org/full-report/references" TargetMode="External"/><Relationship Id="rId29" Type="http://schemas.openxmlformats.org/officeDocument/2006/relationships/hyperlink" Target="http://www.hcvguidelines.org/fullreport" TargetMode="External"/><Relationship Id="rId41" Type="http://schemas.openxmlformats.org/officeDocument/2006/relationships/hyperlink" Target="http://www.hcvguidelines.org/full-report/unique-patient-populations-patients-decompensated-cirrhosis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hcvguidelines.org/printpdf/92" TargetMode="External"/><Relationship Id="rId11" Type="http://schemas.openxmlformats.org/officeDocument/2006/relationships/hyperlink" Target="http://www.hcvguidelines.org/node/73" TargetMode="External"/><Relationship Id="rId24" Type="http://schemas.openxmlformats.org/officeDocument/2006/relationships/image" Target="media/image1.wmf"/><Relationship Id="rId32" Type="http://schemas.openxmlformats.org/officeDocument/2006/relationships/hyperlink" Target="http://www.hcvguidelines.org/full-report/methods" TargetMode="External"/><Relationship Id="rId37" Type="http://schemas.openxmlformats.org/officeDocument/2006/relationships/hyperlink" Target="http://www.hcvguidelines.org/full-report/retreatment-persons-whom-prior-therapy-has-failed" TargetMode="External"/><Relationship Id="rId40" Type="http://schemas.openxmlformats.org/officeDocument/2006/relationships/hyperlink" Target="http://www.hcvguidelines.org/full-report/unique-patient-populations-patients-hivhcv-coinfection" TargetMode="External"/><Relationship Id="rId45" Type="http://schemas.openxmlformats.org/officeDocument/2006/relationships/hyperlink" Target="http://www.hcvguidelines.org/full-report/references" TargetMode="External"/><Relationship Id="rId5" Type="http://schemas.openxmlformats.org/officeDocument/2006/relationships/hyperlink" Target="http://www.hcvguidelines.org/print/92" TargetMode="External"/><Relationship Id="rId15" Type="http://schemas.openxmlformats.org/officeDocument/2006/relationships/hyperlink" Target="http://www.hcvguidelines.org/node/73" TargetMode="External"/><Relationship Id="rId23" Type="http://schemas.openxmlformats.org/officeDocument/2006/relationships/hyperlink" Target="http://www.hcvguidelines.org/printpdf/full-report/monitoring-patients-who-are-starting-hepatitis-c-treatment-are-treatment-or-have" TargetMode="External"/><Relationship Id="rId28" Type="http://schemas.openxmlformats.org/officeDocument/2006/relationships/image" Target="http://www.hcvguidelines.org/sites/all/themes/aasld/images/ias-usa.png" TargetMode="External"/><Relationship Id="rId36" Type="http://schemas.openxmlformats.org/officeDocument/2006/relationships/hyperlink" Target="http://www.hcvguidelines.org/full-report/initial-treatment-hcv-infection" TargetMode="External"/><Relationship Id="rId10" Type="http://schemas.openxmlformats.org/officeDocument/2006/relationships/hyperlink" Target="http://www.hcvguidelines.org/node/71" TargetMode="External"/><Relationship Id="rId19" Type="http://schemas.openxmlformats.org/officeDocument/2006/relationships/hyperlink" Target="http://www.hcvguidelines.org/node/93" TargetMode="External"/><Relationship Id="rId31" Type="http://schemas.openxmlformats.org/officeDocument/2006/relationships/hyperlink" Target="http://www.hcvguidelines.org/full-report/introduction" TargetMode="External"/><Relationship Id="rId44" Type="http://schemas.openxmlformats.org/officeDocument/2006/relationships/hyperlink" Target="http://www.hcvguidelines.org/full-report/management-acute-hcv-infectio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hcvguidelines.org/node/73" TargetMode="External"/><Relationship Id="rId14" Type="http://schemas.openxmlformats.org/officeDocument/2006/relationships/hyperlink" Target="http://www.hcvguidelines.org/node/71" TargetMode="External"/><Relationship Id="rId22" Type="http://schemas.openxmlformats.org/officeDocument/2006/relationships/hyperlink" Target="http://www.hcvguidelines.org/print/full-report/monitoring-patients-who-are-starting-hepatitis-c-treatment-are-treatment-or-have" TargetMode="External"/><Relationship Id="rId27" Type="http://schemas.openxmlformats.org/officeDocument/2006/relationships/image" Target="media/image2.png"/><Relationship Id="rId30" Type="http://schemas.openxmlformats.org/officeDocument/2006/relationships/hyperlink" Target="http://www.hcvguidelines.org/full-report-view" TargetMode="External"/><Relationship Id="rId35" Type="http://schemas.openxmlformats.org/officeDocument/2006/relationships/hyperlink" Target="http://www.hcvguidelines.org/full-report/overview-cost-reimbursement-and-cost-effectiveness-considerations-hepatitis-c-treatment" TargetMode="External"/><Relationship Id="rId43" Type="http://schemas.openxmlformats.org/officeDocument/2006/relationships/hyperlink" Target="http://www.hcvguidelines.org/full-report/unique-patient-populations-patients-renal-impairment" TargetMode="External"/><Relationship Id="rId48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4380</Words>
  <Characters>24971</Characters>
  <Application>Microsoft Office Word</Application>
  <DocSecurity>0</DocSecurity>
  <Lines>208</Lines>
  <Paragraphs>58</Paragraphs>
  <ScaleCrop>false</ScaleCrop>
  <Company/>
  <LinksUpToDate>false</LinksUpToDate>
  <CharactersWithSpaces>29293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rus</dc:creator>
  <cp:keywords/>
  <dc:description/>
  <cp:lastModifiedBy>vlad rus</cp:lastModifiedBy>
  <cp:revision>2</cp:revision>
  <dcterms:created xsi:type="dcterms:W3CDTF">2015-11-12T22:34:00Z</dcterms:created>
  <dcterms:modified xsi:type="dcterms:W3CDTF">2015-11-12T22:35:00Z</dcterms:modified>
</cp:coreProperties>
</file>