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BB4" w:rsidRDefault="00E12BB4">
      <w:pPr>
        <w:rPr>
          <w:sz w:val="2"/>
          <w:szCs w:val="2"/>
        </w:rPr>
      </w:pPr>
    </w:p>
    <w:p w:rsidR="00E12BB4" w:rsidRDefault="003A60A2">
      <w:pPr>
        <w:pStyle w:val="21"/>
        <w:keepNext/>
        <w:keepLines/>
        <w:shd w:val="clear" w:color="auto" w:fill="auto"/>
        <w:spacing w:before="0" w:after="83" w:line="240" w:lineRule="exact"/>
        <w:ind w:left="60"/>
      </w:pPr>
      <w:bookmarkStart w:id="0" w:name="bookmark0"/>
      <w:proofErr w:type="spellStart"/>
      <w:r>
        <w:t>Hepci</w:t>
      </w:r>
      <w:r w:rsidR="002248DD">
        <w:t>n</w:t>
      </w:r>
      <w:r>
        <w:t>a</w:t>
      </w:r>
      <w:r w:rsidR="002248DD">
        <w:t>t</w:t>
      </w:r>
      <w:proofErr w:type="spellEnd"/>
      <w:r w:rsidR="002248DD">
        <w:t xml:space="preserve"> </w:t>
      </w:r>
      <w:r>
        <w:t>LP</w:t>
      </w:r>
      <w:bookmarkEnd w:id="0"/>
    </w:p>
    <w:p w:rsidR="00E12BB4" w:rsidRDefault="003A60A2">
      <w:pPr>
        <w:pStyle w:val="30"/>
        <w:keepNext/>
        <w:keepLines/>
        <w:shd w:val="clear" w:color="auto" w:fill="auto"/>
        <w:spacing w:before="0" w:after="65" w:line="160" w:lineRule="exact"/>
        <w:ind w:left="2540"/>
      </w:pPr>
      <w:bookmarkStart w:id="1" w:name="bookmark1"/>
      <w:proofErr w:type="spellStart"/>
      <w:r>
        <w:t>Ledipasvir</w:t>
      </w:r>
      <w:proofErr w:type="spellEnd"/>
      <w:r>
        <w:t xml:space="preserve"> &amp; </w:t>
      </w:r>
      <w:proofErr w:type="spellStart"/>
      <w:r>
        <w:t>Sofosbuvir</w:t>
      </w:r>
      <w:proofErr w:type="spellEnd"/>
      <w:r>
        <w:t xml:space="preserve"> Tablets</w:t>
      </w:r>
      <w:bookmarkEnd w:id="1"/>
    </w:p>
    <w:p w:rsidR="00E12BB4" w:rsidRDefault="003A60A2">
      <w:pPr>
        <w:pStyle w:val="23"/>
        <w:numPr>
          <w:ilvl w:val="0"/>
          <w:numId w:val="1"/>
        </w:numPr>
        <w:shd w:val="clear" w:color="auto" w:fill="auto"/>
        <w:spacing w:before="0"/>
        <w:ind w:left="20"/>
      </w:pPr>
      <w:r>
        <w:t xml:space="preserve"> DESCRIPTION</w:t>
      </w:r>
    </w:p>
    <w:p w:rsidR="00E12BB4" w:rsidRDefault="003A60A2">
      <w:pPr>
        <w:pStyle w:val="2"/>
        <w:shd w:val="clear" w:color="auto" w:fill="auto"/>
        <w:spacing w:after="0" w:line="149" w:lineRule="exact"/>
        <w:ind w:left="20" w:right="80" w:firstLine="0"/>
        <w:jc w:val="both"/>
      </w:pPr>
      <w:r>
        <w:t xml:space="preserve">HEPCINAT-LP is a fixed-dose combination tablet containing </w:t>
      </w:r>
      <w:proofErr w:type="spellStart"/>
      <w:r>
        <w:t>ledipasvir</w:t>
      </w:r>
      <w:proofErr w:type="spellEnd"/>
      <w:r>
        <w:t xml:space="preserve"> and </w:t>
      </w:r>
      <w:proofErr w:type="spellStart"/>
      <w:r>
        <w:t>sofosbuvir</w:t>
      </w:r>
      <w:proofErr w:type="spellEnd"/>
      <w:r>
        <w:t xml:space="preserve"> for oral administration. </w:t>
      </w:r>
      <w:proofErr w:type="spellStart"/>
      <w:r>
        <w:t>Ledipasvir</w:t>
      </w:r>
      <w:proofErr w:type="spellEnd"/>
      <w:r>
        <w:t xml:space="preserve"> is an HCV NS5A inhibitor and </w:t>
      </w:r>
      <w:proofErr w:type="spellStart"/>
      <w:r>
        <w:t>sofosbuvir</w:t>
      </w:r>
      <w:proofErr w:type="spellEnd"/>
      <w:r>
        <w:t xml:space="preserve"> is a nucleo</w:t>
      </w:r>
      <w:r>
        <w:softHyphen/>
        <w:t>tide analog inhibitor of HCV NS5B polymerase.</w:t>
      </w:r>
    </w:p>
    <w:p w:rsidR="00E12BB4" w:rsidRDefault="003A60A2">
      <w:pPr>
        <w:pStyle w:val="2"/>
        <w:shd w:val="clear" w:color="auto" w:fill="auto"/>
        <w:spacing w:after="0" w:line="149" w:lineRule="exact"/>
        <w:ind w:left="20" w:right="80" w:firstLine="0"/>
      </w:pPr>
      <w:r>
        <w:t xml:space="preserve">Each tablet contains 90 mg </w:t>
      </w:r>
      <w:proofErr w:type="spellStart"/>
      <w:r>
        <w:t>ledipasvir</w:t>
      </w:r>
      <w:proofErr w:type="spellEnd"/>
      <w:r>
        <w:t xml:space="preserve"> and 400 mg </w:t>
      </w:r>
      <w:proofErr w:type="spellStart"/>
      <w:r>
        <w:t>sofosbuvir</w:t>
      </w:r>
      <w:proofErr w:type="spellEnd"/>
      <w:r>
        <w:t xml:space="preserve">. The tablet includes the following inactive ingredients: colloidal silicon dioxide, </w:t>
      </w:r>
      <w:proofErr w:type="spellStart"/>
      <w:r>
        <w:t>copovidone</w:t>
      </w:r>
      <w:proofErr w:type="spellEnd"/>
      <w:r>
        <w:t xml:space="preserve">, </w:t>
      </w:r>
      <w:proofErr w:type="spellStart"/>
      <w:r>
        <w:t>croscarmeiiose</w:t>
      </w:r>
      <w:proofErr w:type="spellEnd"/>
      <w:r>
        <w:t xml:space="preserve"> sodium, lactose monohydrate, magnesium stearate, and microcrystal I me </w:t>
      </w:r>
      <w:proofErr w:type="spellStart"/>
      <w:r>
        <w:t>ceiluiose</w:t>
      </w:r>
      <w:proofErr w:type="spellEnd"/>
      <w:r>
        <w:t xml:space="preserve">. The tablet is film-coated with a coating material containing the following inactive ingredients: Ferric oxide (yellow), polyethylene glycol, polyvinyl alcohol, talc, and titanium dioxide. </w:t>
      </w:r>
      <w:proofErr w:type="spellStart"/>
      <w:r>
        <w:t>Ledipasvir</w:t>
      </w:r>
      <w:proofErr w:type="spellEnd"/>
      <w:r>
        <w:t xml:space="preserve">: </w:t>
      </w:r>
    </w:p>
    <w:p w:rsidR="00E12BB4" w:rsidRDefault="003A60A2" w:rsidP="00C03903">
      <w:pPr>
        <w:pStyle w:val="2"/>
        <w:shd w:val="clear" w:color="auto" w:fill="auto"/>
        <w:spacing w:after="151" w:line="149" w:lineRule="exact"/>
        <w:ind w:left="20" w:right="80" w:firstLine="0"/>
        <w:jc w:val="both"/>
      </w:pPr>
      <w:r>
        <w:t>It has a molecular formula of C</w:t>
      </w:r>
      <w:r>
        <w:rPr>
          <w:vertAlign w:val="subscript"/>
        </w:rPr>
        <w:t>4a</w:t>
      </w:r>
      <w:r>
        <w:t>H</w:t>
      </w:r>
      <w:r>
        <w:rPr>
          <w:vertAlign w:val="subscript"/>
        </w:rPr>
        <w:t>54</w:t>
      </w:r>
      <w:r>
        <w:t>F</w:t>
      </w:r>
      <w:r>
        <w:rPr>
          <w:vertAlign w:val="subscript"/>
        </w:rPr>
        <w:t>2</w:t>
      </w:r>
      <w:r>
        <w:t>N</w:t>
      </w:r>
      <w:r>
        <w:rPr>
          <w:vertAlign w:val="subscript"/>
        </w:rPr>
        <w:t>8</w:t>
      </w:r>
      <w:r>
        <w:t>O</w:t>
      </w:r>
      <w:r>
        <w:rPr>
          <w:vertAlign w:val="subscript"/>
        </w:rPr>
        <w:t>e</w:t>
      </w:r>
      <w:r>
        <w:t xml:space="preserve"> and a molecular weight of 889.00. </w:t>
      </w:r>
    </w:p>
    <w:p w:rsidR="00E12BB4" w:rsidRDefault="003A60A2">
      <w:pPr>
        <w:pStyle w:val="23"/>
        <w:numPr>
          <w:ilvl w:val="0"/>
          <w:numId w:val="2"/>
        </w:numPr>
        <w:shd w:val="clear" w:color="auto" w:fill="auto"/>
        <w:spacing w:before="0" w:line="144" w:lineRule="exact"/>
        <w:ind w:left="20"/>
      </w:pPr>
      <w:r>
        <w:t xml:space="preserve"> Mechanism of Action</w:t>
      </w:r>
    </w:p>
    <w:p w:rsidR="00E12BB4" w:rsidRDefault="003A60A2">
      <w:pPr>
        <w:pStyle w:val="2"/>
        <w:shd w:val="clear" w:color="auto" w:fill="auto"/>
        <w:spacing w:after="0" w:line="144" w:lineRule="exact"/>
        <w:ind w:left="20" w:right="80" w:firstLine="0"/>
        <w:jc w:val="both"/>
      </w:pPr>
      <w:r>
        <w:t xml:space="preserve">HEPCINAT-LP is a fixed-dose combination of </w:t>
      </w:r>
      <w:proofErr w:type="spellStart"/>
      <w:r>
        <w:t>ledipasvi</w:t>
      </w:r>
      <w:r>
        <w:rPr>
          <w:vertAlign w:val="superscript"/>
        </w:rPr>
        <w:t>r</w:t>
      </w:r>
      <w:proofErr w:type="spellEnd"/>
      <w:r>
        <w:t xml:space="preserve"> and </w:t>
      </w:r>
      <w:proofErr w:type="spellStart"/>
      <w:r>
        <w:t>sofosbuvir</w:t>
      </w:r>
      <w:proofErr w:type="spellEnd"/>
      <w:r>
        <w:t xml:space="preserve"> which are di</w:t>
      </w:r>
      <w:r>
        <w:softHyphen/>
        <w:t xml:space="preserve">rect-acting antiviral agents against the hepatitis </w:t>
      </w:r>
      <w:r>
        <w:rPr>
          <w:lang w:val="ru-RU" w:eastAsia="ru-RU" w:bidi="ru-RU"/>
        </w:rPr>
        <w:t>С</w:t>
      </w:r>
      <w:r w:rsidRPr="002248DD">
        <w:rPr>
          <w:lang w:eastAsia="ru-RU" w:bidi="ru-RU"/>
        </w:rPr>
        <w:t xml:space="preserve"> </w:t>
      </w:r>
      <w:r>
        <w:t>virus.</w:t>
      </w:r>
    </w:p>
    <w:p w:rsidR="00E12BB4" w:rsidRDefault="003A60A2">
      <w:pPr>
        <w:pStyle w:val="23"/>
        <w:numPr>
          <w:ilvl w:val="0"/>
          <w:numId w:val="2"/>
        </w:numPr>
        <w:shd w:val="clear" w:color="auto" w:fill="auto"/>
        <w:spacing w:before="0" w:line="158" w:lineRule="exact"/>
        <w:ind w:left="20"/>
      </w:pPr>
      <w:r>
        <w:t xml:space="preserve"> Pharmacodynamics</w:t>
      </w:r>
    </w:p>
    <w:p w:rsidR="00E12BB4" w:rsidRDefault="003A60A2">
      <w:pPr>
        <w:pStyle w:val="2"/>
        <w:shd w:val="clear" w:color="auto" w:fill="auto"/>
        <w:spacing w:after="0" w:line="158" w:lineRule="exact"/>
        <w:ind w:left="20" w:firstLine="0"/>
        <w:jc w:val="both"/>
      </w:pPr>
      <w:r>
        <w:t>Cardiac Electrophysiology</w:t>
      </w:r>
    </w:p>
    <w:p w:rsidR="00C03903" w:rsidRDefault="00C03903" w:rsidP="00C03903">
      <w:pPr>
        <w:framePr w:h="691" w:wrap="around" w:vAnchor="text" w:hAnchor="page" w:x="1048" w:y="114"/>
        <w:jc w:val="center"/>
        <w:rPr>
          <w:sz w:val="2"/>
          <w:szCs w:val="2"/>
        </w:rPr>
      </w:pPr>
    </w:p>
    <w:p w:rsidR="00E12BB4" w:rsidRDefault="003A60A2">
      <w:pPr>
        <w:pStyle w:val="2"/>
        <w:shd w:val="clear" w:color="auto" w:fill="auto"/>
        <w:spacing w:after="0" w:line="158" w:lineRule="exact"/>
        <w:ind w:left="20" w:right="80" w:firstLine="0"/>
        <w:jc w:val="both"/>
      </w:pPr>
      <w:proofErr w:type="spellStart"/>
      <w:r>
        <w:t>Ledipasvir</w:t>
      </w:r>
      <w:proofErr w:type="spellEnd"/>
      <w:r>
        <w:t xml:space="preserve"> at a dose of 120 mg twice daily (2.67 times the maximum </w:t>
      </w:r>
      <w:proofErr w:type="spellStart"/>
      <w:r>
        <w:t>recommenced</w:t>
      </w:r>
      <w:proofErr w:type="spellEnd"/>
      <w:r>
        <w:t xml:space="preserve"> dosage) and </w:t>
      </w:r>
      <w:proofErr w:type="spellStart"/>
      <w:r>
        <w:t>sofosbuvir</w:t>
      </w:r>
      <w:proofErr w:type="spellEnd"/>
      <w:r>
        <w:t xml:space="preserve"> 400 mg (maximum recommended dosage) and 1200 mg (three times the maximum recommended dosage) does not prolong </w:t>
      </w:r>
      <w:proofErr w:type="spellStart"/>
      <w:r>
        <w:t>QTc</w:t>
      </w:r>
      <w:proofErr w:type="spellEnd"/>
      <w:r>
        <w:t xml:space="preserve"> in clinical trials.</w:t>
      </w:r>
    </w:p>
    <w:p w:rsidR="00E12BB4" w:rsidRDefault="003A60A2">
      <w:pPr>
        <w:pStyle w:val="23"/>
        <w:numPr>
          <w:ilvl w:val="0"/>
          <w:numId w:val="2"/>
        </w:numPr>
        <w:shd w:val="clear" w:color="auto" w:fill="auto"/>
        <w:spacing w:before="0" w:line="139" w:lineRule="exact"/>
        <w:ind w:left="20" w:right="3500"/>
        <w:jc w:val="left"/>
      </w:pPr>
      <w:r>
        <w:t xml:space="preserve"> Pharmacokinetics Absorption</w:t>
      </w:r>
    </w:p>
    <w:p w:rsidR="00E12BB4" w:rsidRDefault="003A60A2">
      <w:pPr>
        <w:pStyle w:val="2"/>
        <w:shd w:val="clear" w:color="auto" w:fill="auto"/>
        <w:spacing w:after="0" w:line="144" w:lineRule="exact"/>
        <w:ind w:left="20" w:right="80" w:firstLine="0"/>
        <w:jc w:val="both"/>
      </w:pPr>
      <w:r>
        <w:t xml:space="preserve">The pharmacokinetic properties of </w:t>
      </w:r>
      <w:proofErr w:type="spellStart"/>
      <w:r>
        <w:t>ledipasvir</w:t>
      </w:r>
      <w:proofErr w:type="spellEnd"/>
      <w:r>
        <w:t xml:space="preserve">, </w:t>
      </w:r>
      <w:proofErr w:type="spellStart"/>
      <w:r>
        <w:t>sofosbuvir</w:t>
      </w:r>
      <w:proofErr w:type="spellEnd"/>
      <w:r>
        <w:t>, and the predominant circulat</w:t>
      </w:r>
      <w:r>
        <w:softHyphen/>
        <w:t xml:space="preserve">ing metabolite GS-331007 have been evaluated in healthy adult subjects and in subjects with chronic hepatitis C. Following oral administration, </w:t>
      </w:r>
      <w:proofErr w:type="spellStart"/>
      <w:r>
        <w:t>ledipasvir</w:t>
      </w:r>
      <w:proofErr w:type="spellEnd"/>
      <w:r>
        <w:t xml:space="preserve"> median peak concen</w:t>
      </w:r>
      <w:r>
        <w:softHyphen/>
        <w:t xml:space="preserve">trations were observed 4 to 4.5 hours post-dose. </w:t>
      </w:r>
      <w:proofErr w:type="spellStart"/>
      <w:r>
        <w:t>Sofosbuvir</w:t>
      </w:r>
      <w:proofErr w:type="spellEnd"/>
      <w:r>
        <w:t xml:space="preserve"> was absorbed quickly and the peak median plasma concentration was observed -0.8 to 1 hour post-dose. Median peak plasma concentration of GS-331007 was observed between 3.5 to 4 hours </w:t>
      </w:r>
      <w:proofErr w:type="spellStart"/>
      <w:r>
        <w:t>post</w:t>
      </w:r>
      <w:r>
        <w:softHyphen/>
        <w:t>dose</w:t>
      </w:r>
      <w:proofErr w:type="spellEnd"/>
      <w:r>
        <w:t>.</w:t>
      </w:r>
    </w:p>
    <w:p w:rsidR="00E12BB4" w:rsidRDefault="003A60A2">
      <w:pPr>
        <w:pStyle w:val="23"/>
        <w:shd w:val="clear" w:color="auto" w:fill="auto"/>
        <w:spacing w:before="0" w:line="139" w:lineRule="exact"/>
        <w:ind w:left="20"/>
      </w:pPr>
      <w:r>
        <w:t>Effect of Food</w:t>
      </w:r>
    </w:p>
    <w:p w:rsidR="00E12BB4" w:rsidRDefault="003A60A2">
      <w:pPr>
        <w:pStyle w:val="2"/>
        <w:shd w:val="clear" w:color="auto" w:fill="auto"/>
        <w:spacing w:after="0" w:line="139" w:lineRule="exact"/>
        <w:ind w:left="20" w:right="80" w:firstLine="0"/>
        <w:jc w:val="both"/>
      </w:pPr>
      <w:r>
        <w:t xml:space="preserve">In fasting conditions, the administration of a single dose of </w:t>
      </w:r>
      <w:proofErr w:type="spellStart"/>
      <w:r>
        <w:t>ledipasvir</w:t>
      </w:r>
      <w:proofErr w:type="spellEnd"/>
      <w:r>
        <w:t xml:space="preserve"> and </w:t>
      </w:r>
      <w:proofErr w:type="spellStart"/>
      <w:r>
        <w:t>sofosbuvir</w:t>
      </w:r>
      <w:proofErr w:type="spellEnd"/>
      <w:r>
        <w:t xml:space="preserve"> with a moderate fat (-600 kcal, 25% to 30% fat) or high fat (-1000 kcal, 50%_fat) meal increased </w:t>
      </w:r>
      <w:proofErr w:type="spellStart"/>
      <w:r>
        <w:t>sofosbuvir</w:t>
      </w:r>
      <w:proofErr w:type="spellEnd"/>
      <w:r>
        <w:t xml:space="preserve"> AUC^, by approximately 2-fold, but did not significantly affect </w:t>
      </w:r>
      <w:proofErr w:type="spellStart"/>
      <w:r>
        <w:t>sofosbuvir</w:t>
      </w:r>
      <w:proofErr w:type="spellEnd"/>
      <w:r>
        <w:t xml:space="preserve"> C^. The exposures of GS-331007 and </w:t>
      </w:r>
      <w:proofErr w:type="spellStart"/>
      <w:r>
        <w:t>ledipasvir</w:t>
      </w:r>
      <w:proofErr w:type="spellEnd"/>
      <w:r>
        <w:t xml:space="preserve"> were not altered in the presence of either meal type. The response rates in Phase 3 </w:t>
      </w:r>
      <w:proofErr w:type="spellStart"/>
      <w:r>
        <w:t>tnais</w:t>
      </w:r>
      <w:proofErr w:type="spellEnd"/>
      <w:r>
        <w:t xml:space="preserve"> were similar in HCV-in</w:t>
      </w:r>
      <w:r>
        <w:softHyphen/>
        <w:t xml:space="preserve">fected subjects who received </w:t>
      </w:r>
      <w:proofErr w:type="spellStart"/>
      <w:r>
        <w:t>Ledipasvir</w:t>
      </w:r>
      <w:proofErr w:type="spellEnd"/>
      <w:r>
        <w:t xml:space="preserve"> + </w:t>
      </w:r>
      <w:proofErr w:type="spellStart"/>
      <w:r>
        <w:t>Sofosbuvir</w:t>
      </w:r>
      <w:proofErr w:type="spellEnd"/>
      <w:r>
        <w:t xml:space="preserve"> with food </w:t>
      </w:r>
      <w:r>
        <w:rPr>
          <w:lang w:val="ru-RU" w:eastAsia="ru-RU" w:bidi="ru-RU"/>
        </w:rPr>
        <w:t>с</w:t>
      </w:r>
      <w:r w:rsidRPr="002248DD">
        <w:rPr>
          <w:lang w:eastAsia="ru-RU" w:bidi="ru-RU"/>
        </w:rPr>
        <w:t xml:space="preserve">- </w:t>
      </w:r>
      <w:r>
        <w:rPr>
          <w:lang w:val="ru-RU" w:eastAsia="ru-RU" w:bidi="ru-RU"/>
        </w:rPr>
        <w:t>л</w:t>
      </w:r>
      <w:r w:rsidRPr="002248DD">
        <w:rPr>
          <w:lang w:eastAsia="ru-RU" w:bidi="ru-RU"/>
        </w:rPr>
        <w:t xml:space="preserve"> </w:t>
      </w:r>
      <w:r>
        <w:t xml:space="preserve">trout food- </w:t>
      </w:r>
      <w:proofErr w:type="spellStart"/>
      <w:r>
        <w:t>Ledip</w:t>
      </w:r>
      <w:r>
        <w:softHyphen/>
        <w:t>asvir</w:t>
      </w:r>
      <w:proofErr w:type="spellEnd"/>
      <w:r>
        <w:t xml:space="preserve"> + </w:t>
      </w:r>
      <w:proofErr w:type="spellStart"/>
      <w:r>
        <w:t>Sofosbuvir</w:t>
      </w:r>
      <w:proofErr w:type="spellEnd"/>
      <w:r>
        <w:t xml:space="preserve"> can be administered without regard to food.</w:t>
      </w:r>
    </w:p>
    <w:p w:rsidR="00E12BB4" w:rsidRDefault="003A60A2">
      <w:pPr>
        <w:pStyle w:val="23"/>
        <w:shd w:val="clear" w:color="auto" w:fill="auto"/>
        <w:spacing w:before="0" w:line="144" w:lineRule="exact"/>
        <w:ind w:left="20"/>
      </w:pPr>
      <w:r>
        <w:t>Distribution</w:t>
      </w:r>
    </w:p>
    <w:p w:rsidR="00E12BB4" w:rsidRDefault="003A60A2">
      <w:pPr>
        <w:pStyle w:val="2"/>
        <w:shd w:val="clear" w:color="auto" w:fill="auto"/>
        <w:spacing w:after="0" w:line="144" w:lineRule="exact"/>
        <w:ind w:left="20" w:right="80" w:firstLine="0"/>
        <w:jc w:val="both"/>
      </w:pPr>
      <w:proofErr w:type="spellStart"/>
      <w:r>
        <w:t>Ledipasvir</w:t>
      </w:r>
      <w:proofErr w:type="spellEnd"/>
      <w:r>
        <w:t xml:space="preserve"> is &gt;99.8% bound to human plasma proteins. After a single 90 mg </w:t>
      </w:r>
      <w:proofErr w:type="spellStart"/>
      <w:r>
        <w:t>cose</w:t>
      </w:r>
      <w:proofErr w:type="spellEnd"/>
      <w:r>
        <w:t xml:space="preserve"> of [</w:t>
      </w:r>
      <w:r>
        <w:rPr>
          <w:vertAlign w:val="superscript"/>
        </w:rPr>
        <w:t>1J</w:t>
      </w:r>
      <w:r>
        <w:t>C]-</w:t>
      </w:r>
      <w:proofErr w:type="spellStart"/>
      <w:r>
        <w:t>ledipasvlr</w:t>
      </w:r>
      <w:proofErr w:type="spellEnd"/>
      <w:r>
        <w:t xml:space="preserve"> in healthy subjects, the blood to plasma ratio of (</w:t>
      </w:r>
      <w:proofErr w:type="gramStart"/>
      <w:r>
        <w:rPr>
          <w:vertAlign w:val="superscript"/>
        </w:rPr>
        <w:t>,4</w:t>
      </w:r>
      <w:r>
        <w:t>C</w:t>
      </w:r>
      <w:proofErr w:type="gramEnd"/>
      <w:r>
        <w:t>]-</w:t>
      </w:r>
      <w:proofErr w:type="spellStart"/>
      <w:r>
        <w:t>radioactivrty</w:t>
      </w:r>
      <w:proofErr w:type="spellEnd"/>
      <w:r>
        <w:t xml:space="preserve"> </w:t>
      </w:r>
      <w:proofErr w:type="spellStart"/>
      <w:r>
        <w:t>raroed</w:t>
      </w:r>
      <w:proofErr w:type="spellEnd"/>
      <w:r>
        <w:t xml:space="preserve"> between 0.51 and 0.66.</w:t>
      </w:r>
    </w:p>
    <w:p w:rsidR="00E12BB4" w:rsidRDefault="003A60A2">
      <w:pPr>
        <w:pStyle w:val="2"/>
        <w:shd w:val="clear" w:color="auto" w:fill="auto"/>
        <w:spacing w:after="0" w:line="144" w:lineRule="exact"/>
        <w:ind w:left="20" w:right="80" w:firstLine="0"/>
        <w:jc w:val="both"/>
      </w:pPr>
      <w:proofErr w:type="spellStart"/>
      <w:r>
        <w:t>Sofosbuvir</w:t>
      </w:r>
      <w:proofErr w:type="spellEnd"/>
      <w:r>
        <w:t xml:space="preserve"> is approximately 61-65% bound to human plasma proteins and the </w:t>
      </w:r>
      <w:r>
        <w:rPr>
          <w:lang w:val="ru-RU" w:eastAsia="ru-RU" w:bidi="ru-RU"/>
        </w:rPr>
        <w:t>с</w:t>
      </w:r>
      <w:r w:rsidRPr="002248DD">
        <w:rPr>
          <w:lang w:eastAsia="ru-RU" w:bidi="ru-RU"/>
        </w:rPr>
        <w:t xml:space="preserve"> </w:t>
      </w:r>
      <w:r>
        <w:t xml:space="preserve">r&lt;j </w:t>
      </w:r>
      <w:proofErr w:type="spellStart"/>
      <w:r>
        <w:t>ng</w:t>
      </w:r>
      <w:proofErr w:type="spellEnd"/>
      <w:r>
        <w:t xml:space="preserve"> is independent of drug concentration over the range of 1 Mg/mL to 20 </w:t>
      </w:r>
      <w:proofErr w:type="spellStart"/>
      <w:r>
        <w:t>pg</w:t>
      </w:r>
      <w:proofErr w:type="spellEnd"/>
      <w:r>
        <w:t>/mL Protein binding of GS-331007 was minimal in human plasma. After a single 400 mg dose of [</w:t>
      </w:r>
      <w:r>
        <w:rPr>
          <w:vertAlign w:val="superscript"/>
        </w:rPr>
        <w:t>14</w:t>
      </w:r>
      <w:r>
        <w:t>C]-</w:t>
      </w:r>
      <w:proofErr w:type="spellStart"/>
      <w:r>
        <w:t>sofosbuvir</w:t>
      </w:r>
      <w:proofErr w:type="spellEnd"/>
      <w:r>
        <w:t xml:space="preserve"> in healthy subjects, the blood to plasma ratio </w:t>
      </w:r>
      <w:proofErr w:type="gramStart"/>
      <w:r>
        <w:t xml:space="preserve">of </w:t>
      </w:r>
      <w:r>
        <w:rPr>
          <w:vertAlign w:val="superscript"/>
        </w:rPr>
        <w:t>,4</w:t>
      </w:r>
      <w:r>
        <w:t>C</w:t>
      </w:r>
      <w:proofErr w:type="gramEnd"/>
      <w:r>
        <w:t xml:space="preserve">-radioactivity </w:t>
      </w:r>
      <w:r>
        <w:rPr>
          <w:lang w:val="ru-RU" w:eastAsia="ru-RU" w:bidi="ru-RU"/>
        </w:rPr>
        <w:t>лаз</w:t>
      </w:r>
      <w:r w:rsidRPr="002248DD">
        <w:rPr>
          <w:lang w:eastAsia="ru-RU" w:bidi="ru-RU"/>
        </w:rPr>
        <w:t xml:space="preserve"> </w:t>
      </w:r>
      <w:r>
        <w:t>approximately 0.7.</w:t>
      </w:r>
    </w:p>
    <w:p w:rsidR="00E12BB4" w:rsidRDefault="003A60A2">
      <w:pPr>
        <w:pStyle w:val="23"/>
        <w:shd w:val="clear" w:color="auto" w:fill="auto"/>
        <w:spacing w:before="0" w:line="139" w:lineRule="exact"/>
        <w:ind w:left="20"/>
      </w:pPr>
      <w:r>
        <w:t>Metabolism</w:t>
      </w:r>
    </w:p>
    <w:p w:rsidR="00E12BB4" w:rsidRDefault="003A60A2">
      <w:pPr>
        <w:pStyle w:val="2"/>
        <w:shd w:val="clear" w:color="auto" w:fill="auto"/>
        <w:spacing w:after="0" w:line="139" w:lineRule="exact"/>
        <w:ind w:left="20" w:right="80" w:firstLine="0"/>
        <w:jc w:val="both"/>
      </w:pPr>
      <w:r>
        <w:rPr>
          <w:rStyle w:val="a5"/>
        </w:rPr>
        <w:t>In vitro,</w:t>
      </w:r>
      <w:r>
        <w:t xml:space="preserve"> no detectable metabolism of </w:t>
      </w:r>
      <w:proofErr w:type="spellStart"/>
      <w:r>
        <w:t>ledipasvir</w:t>
      </w:r>
      <w:proofErr w:type="spellEnd"/>
      <w:r>
        <w:t xml:space="preserve"> was observed by human CYP1A2, CY- P2C8, CYP2C9, CYP2C19, CYP2D6, and CYP3A4. Evidence of slow oxidative </w:t>
      </w:r>
      <w:proofErr w:type="spellStart"/>
      <w:r>
        <w:t>metabo</w:t>
      </w:r>
      <w:proofErr w:type="spellEnd"/>
      <w:r>
        <w:t>-</w:t>
      </w:r>
    </w:p>
    <w:p w:rsidR="00E12BB4" w:rsidRDefault="003A60A2">
      <w:pPr>
        <w:pStyle w:val="23"/>
        <w:shd w:val="clear" w:color="auto" w:fill="auto"/>
        <w:spacing w:before="0" w:line="110" w:lineRule="exact"/>
        <w:ind w:left="140"/>
      </w:pPr>
      <w:r>
        <w:t>Pediatric Patients:</w:t>
      </w:r>
    </w:p>
    <w:p w:rsidR="00E12BB4" w:rsidRDefault="003A60A2">
      <w:pPr>
        <w:pStyle w:val="2"/>
        <w:shd w:val="clear" w:color="auto" w:fill="auto"/>
        <w:spacing w:after="0"/>
        <w:ind w:left="140" w:right="40" w:firstLine="0"/>
        <w:jc w:val="both"/>
      </w:pPr>
      <w:r>
        <w:t xml:space="preserve">The pharmacokinetics of </w:t>
      </w:r>
      <w:proofErr w:type="spellStart"/>
      <w:r>
        <w:t>ledipasvir</w:t>
      </w:r>
      <w:proofErr w:type="spellEnd"/>
      <w:r>
        <w:t xml:space="preserve"> or </w:t>
      </w:r>
      <w:proofErr w:type="spellStart"/>
      <w:r>
        <w:t>sofosbuvir</w:t>
      </w:r>
      <w:proofErr w:type="spellEnd"/>
      <w:r>
        <w:t xml:space="preserve"> in pediatric patients has not been es</w:t>
      </w:r>
      <w:r>
        <w:softHyphen/>
        <w:t>tablished.</w:t>
      </w:r>
    </w:p>
    <w:p w:rsidR="00E12BB4" w:rsidRDefault="003A60A2">
      <w:pPr>
        <w:pStyle w:val="23"/>
        <w:shd w:val="clear" w:color="auto" w:fill="auto"/>
        <w:spacing w:before="0" w:line="144" w:lineRule="exact"/>
        <w:ind w:left="140"/>
      </w:pPr>
      <w:r>
        <w:t>Geriatric Patients:</w:t>
      </w:r>
    </w:p>
    <w:p w:rsidR="00E12BB4" w:rsidRDefault="003A60A2">
      <w:pPr>
        <w:pStyle w:val="2"/>
        <w:shd w:val="clear" w:color="auto" w:fill="auto"/>
        <w:spacing w:after="0" w:line="144" w:lineRule="exact"/>
        <w:ind w:left="140" w:right="40" w:firstLine="0"/>
        <w:jc w:val="both"/>
      </w:pPr>
      <w:r>
        <w:t xml:space="preserve">Population pharmacokinetic analysis in HCV-infected subjects showed that within the age range (18 to 80 years) analyzed, age did not have a clinically relevant effect on the exposure to </w:t>
      </w:r>
      <w:proofErr w:type="spellStart"/>
      <w:r>
        <w:t>ledipasvir</w:t>
      </w:r>
      <w:proofErr w:type="spellEnd"/>
      <w:r>
        <w:t xml:space="preserve">, </w:t>
      </w:r>
      <w:proofErr w:type="spellStart"/>
      <w:r>
        <w:t>sofosbuvir</w:t>
      </w:r>
      <w:proofErr w:type="spellEnd"/>
      <w:r>
        <w:t>, and GS-331007.</w:t>
      </w:r>
    </w:p>
    <w:p w:rsidR="00E12BB4" w:rsidRDefault="003A60A2">
      <w:pPr>
        <w:pStyle w:val="23"/>
        <w:shd w:val="clear" w:color="auto" w:fill="auto"/>
        <w:spacing w:before="0" w:line="144" w:lineRule="exact"/>
        <w:ind w:left="140"/>
      </w:pPr>
      <w:r>
        <w:t>Patients with Hepatic Impairment:</w:t>
      </w:r>
    </w:p>
    <w:p w:rsidR="00E12BB4" w:rsidRDefault="003A60A2">
      <w:pPr>
        <w:pStyle w:val="2"/>
        <w:shd w:val="clear" w:color="auto" w:fill="auto"/>
        <w:spacing w:after="0" w:line="144" w:lineRule="exact"/>
        <w:ind w:left="140" w:right="40" w:firstLine="0"/>
        <w:jc w:val="both"/>
      </w:pPr>
      <w:proofErr w:type="gramStart"/>
      <w:r>
        <w:t xml:space="preserve">Population pharmacokinetics analysis in HCV-infected subjects Indicated that cirrhosis had no clinically relevant effect on the exposure of </w:t>
      </w:r>
      <w:proofErr w:type="spellStart"/>
      <w:r>
        <w:t>ledipasvir</w:t>
      </w:r>
      <w:proofErr w:type="spellEnd"/>
      <w:r>
        <w:t xml:space="preserve">, </w:t>
      </w:r>
      <w:proofErr w:type="spellStart"/>
      <w:r>
        <w:t>sofosbuvir</w:t>
      </w:r>
      <w:proofErr w:type="spellEnd"/>
      <w:r>
        <w:t xml:space="preserve"> and GS-331007.</w:t>
      </w:r>
      <w:proofErr w:type="gramEnd"/>
    </w:p>
    <w:p w:rsidR="00E12BB4" w:rsidRDefault="003A60A2">
      <w:pPr>
        <w:pStyle w:val="23"/>
        <w:numPr>
          <w:ilvl w:val="1"/>
          <w:numId w:val="2"/>
        </w:numPr>
        <w:shd w:val="clear" w:color="auto" w:fill="auto"/>
        <w:spacing w:before="0" w:line="173" w:lineRule="exact"/>
        <w:ind w:left="140" w:right="3500"/>
        <w:jc w:val="left"/>
      </w:pPr>
      <w:r>
        <w:t xml:space="preserve"> Microbiology Mechanism of Action</w:t>
      </w:r>
    </w:p>
    <w:p w:rsidR="00E12BB4" w:rsidRDefault="003A60A2">
      <w:pPr>
        <w:pStyle w:val="2"/>
        <w:shd w:val="clear" w:color="auto" w:fill="auto"/>
        <w:spacing w:after="0" w:line="139" w:lineRule="exact"/>
        <w:ind w:left="140" w:right="40" w:firstLine="0"/>
        <w:jc w:val="both"/>
      </w:pPr>
      <w:proofErr w:type="spellStart"/>
      <w:r>
        <w:t>Ledipasvir</w:t>
      </w:r>
      <w:proofErr w:type="spellEnd"/>
      <w:r>
        <w:t xml:space="preserve"> is an inhibitor of the HCV NS5A protein, which is required for viral replication. Resistance </w:t>
      </w:r>
      <w:proofErr w:type="gramStart"/>
      <w:r>
        <w:t>selection in cell culture and cross-resistance studies indicate</w:t>
      </w:r>
      <w:proofErr w:type="gramEnd"/>
      <w:r>
        <w:t xml:space="preserve"> </w:t>
      </w:r>
      <w:proofErr w:type="spellStart"/>
      <w:r>
        <w:t>ledipasvir</w:t>
      </w:r>
      <w:proofErr w:type="spellEnd"/>
      <w:r>
        <w:t xml:space="preserve"> tar</w:t>
      </w:r>
      <w:r>
        <w:softHyphen/>
        <w:t>gets NS5A as its mode of action.</w:t>
      </w:r>
    </w:p>
    <w:p w:rsidR="00E12BB4" w:rsidRDefault="003A60A2">
      <w:pPr>
        <w:pStyle w:val="2"/>
        <w:shd w:val="clear" w:color="auto" w:fill="auto"/>
        <w:spacing w:after="0" w:line="139" w:lineRule="exact"/>
        <w:ind w:left="140" w:right="40" w:firstLine="0"/>
        <w:jc w:val="both"/>
      </w:pPr>
      <w:proofErr w:type="spellStart"/>
      <w:r>
        <w:t>Sofosbuvir</w:t>
      </w:r>
      <w:proofErr w:type="spellEnd"/>
      <w:r>
        <w:t xml:space="preserve"> is an inhibitor of the HCV NS5B RNA-dependent RNA polymerase, which is required for viral replication. </w:t>
      </w:r>
      <w:proofErr w:type="spellStart"/>
      <w:r>
        <w:t>Sofosbuvir</w:t>
      </w:r>
      <w:proofErr w:type="spellEnd"/>
      <w:r>
        <w:t xml:space="preserve"> is a nucleotide </w:t>
      </w:r>
      <w:proofErr w:type="spellStart"/>
      <w:r>
        <w:t>prodrug</w:t>
      </w:r>
      <w:proofErr w:type="spellEnd"/>
      <w:r>
        <w:t xml:space="preserve"> that undergoes intra</w:t>
      </w:r>
      <w:r>
        <w:softHyphen/>
        <w:t xml:space="preserve">cellular metabolism to form the pharmacologically active </w:t>
      </w:r>
      <w:proofErr w:type="spellStart"/>
      <w:r>
        <w:t>uridine</w:t>
      </w:r>
      <w:proofErr w:type="spellEnd"/>
      <w:r>
        <w:t xml:space="preserve"> analog triphosphate (GS-461203), which can be incorporated into HCV RNA by the NS5B polymerase and acts as a chain terminator. In a biochemical assay, GS-461203 inhibited the polymerase activity of the recombinant NS5B from HCV genotypes 1 b, 2a, 3a and 4a with IC</w:t>
      </w:r>
      <w:r>
        <w:rPr>
          <w:vertAlign w:val="subscript"/>
        </w:rPr>
        <w:t>M</w:t>
      </w:r>
      <w:r>
        <w:t xml:space="preserve"> values ranging from 0.7 to 2.6 </w:t>
      </w:r>
      <w:proofErr w:type="spellStart"/>
      <w:r>
        <w:t>pM</w:t>
      </w:r>
      <w:proofErr w:type="spellEnd"/>
      <w:r>
        <w:t>. GS-461203 is neither an inhibitor of human DNA and RNA polymerases nor an inhibitor of mitochondrial RNA polymerase.</w:t>
      </w:r>
    </w:p>
    <w:p w:rsidR="00E12BB4" w:rsidRDefault="003A60A2">
      <w:pPr>
        <w:pStyle w:val="23"/>
        <w:shd w:val="clear" w:color="auto" w:fill="auto"/>
        <w:spacing w:before="0" w:line="139" w:lineRule="exact"/>
        <w:ind w:left="140"/>
      </w:pPr>
      <w:r>
        <w:t>Antiviral Activity</w:t>
      </w:r>
    </w:p>
    <w:p w:rsidR="00E12BB4" w:rsidRDefault="003A60A2">
      <w:pPr>
        <w:pStyle w:val="2"/>
        <w:shd w:val="clear" w:color="auto" w:fill="auto"/>
        <w:spacing w:after="0" w:line="139" w:lineRule="exact"/>
        <w:ind w:left="140" w:right="40" w:firstLine="0"/>
        <w:jc w:val="both"/>
      </w:pPr>
      <w:r>
        <w:t xml:space="preserve">In HCV replicon assays, the EC values of </w:t>
      </w:r>
      <w:proofErr w:type="spellStart"/>
      <w:r>
        <w:t>ledipasvir</w:t>
      </w:r>
      <w:proofErr w:type="spellEnd"/>
      <w:r>
        <w:t xml:space="preserve"> against full-length replicons from genotypes 1a and 1b were 0.031 </w:t>
      </w:r>
      <w:proofErr w:type="spellStart"/>
      <w:r>
        <w:t>nM</w:t>
      </w:r>
      <w:proofErr w:type="spellEnd"/>
      <w:r>
        <w:t xml:space="preserve"> and 0.004 </w:t>
      </w:r>
      <w:proofErr w:type="spellStart"/>
      <w:r>
        <w:t>nM</w:t>
      </w:r>
      <w:proofErr w:type="spellEnd"/>
      <w:r>
        <w:t xml:space="preserve">, respectively. The median EC^ values of </w:t>
      </w:r>
      <w:proofErr w:type="spellStart"/>
      <w:r>
        <w:t>ledipasvir</w:t>
      </w:r>
      <w:proofErr w:type="spellEnd"/>
      <w:r>
        <w:t xml:space="preserve"> against chimeric replicons encoding NS5A sequences from clinical isolates were 0.018 </w:t>
      </w:r>
      <w:proofErr w:type="spellStart"/>
      <w:r>
        <w:t>nM</w:t>
      </w:r>
      <w:proofErr w:type="spellEnd"/>
      <w:r>
        <w:t xml:space="preserve"> for genotype 1a (range 0.009-0.085 </w:t>
      </w:r>
      <w:proofErr w:type="spellStart"/>
      <w:r>
        <w:t>nM</w:t>
      </w:r>
      <w:proofErr w:type="spellEnd"/>
      <w:r>
        <w:t xml:space="preserve">: N=30) and 0.006 </w:t>
      </w:r>
      <w:proofErr w:type="spellStart"/>
      <w:r>
        <w:t>nM</w:t>
      </w:r>
      <w:proofErr w:type="spellEnd"/>
      <w:r>
        <w:t xml:space="preserve"> for gen</w:t>
      </w:r>
      <w:r>
        <w:softHyphen/>
        <w:t xml:space="preserve">otype 1 b (range 0.004-0.007 </w:t>
      </w:r>
      <w:proofErr w:type="spellStart"/>
      <w:r>
        <w:t>nM</w:t>
      </w:r>
      <w:proofErr w:type="spellEnd"/>
      <w:r>
        <w:t xml:space="preserve">; N=3). </w:t>
      </w:r>
      <w:proofErr w:type="spellStart"/>
      <w:r>
        <w:t>Ledipasvir</w:t>
      </w:r>
      <w:proofErr w:type="spellEnd"/>
      <w:r>
        <w:t xml:space="preserve"> has less antiviral activity compared to genotype 1 against genotypes 4a, 5a, and 6a. </w:t>
      </w:r>
      <w:proofErr w:type="gramStart"/>
      <w:r>
        <w:t>with</w:t>
      </w:r>
      <w:proofErr w:type="gramEnd"/>
      <w:r>
        <w:t xml:space="preserve"> EC... values of 0.39 </w:t>
      </w:r>
      <w:proofErr w:type="spellStart"/>
      <w:r>
        <w:t>nM</w:t>
      </w:r>
      <w:proofErr w:type="spellEnd"/>
      <w:r>
        <w:t xml:space="preserve">. </w:t>
      </w:r>
      <w:proofErr w:type="gramStart"/>
      <w:r>
        <w:t xml:space="preserve">0.15 </w:t>
      </w:r>
      <w:proofErr w:type="spellStart"/>
      <w:r>
        <w:t>nM</w:t>
      </w:r>
      <w:proofErr w:type="spellEnd"/>
      <w:r>
        <w:t>.</w:t>
      </w:r>
      <w:proofErr w:type="gramEnd"/>
      <w:r>
        <w:t xml:space="preserve"> </w:t>
      </w:r>
      <w:proofErr w:type="gramStart"/>
      <w:r>
        <w:t>and</w:t>
      </w:r>
      <w:proofErr w:type="gramEnd"/>
      <w:r>
        <w:t xml:space="preserve"> 1.1 </w:t>
      </w:r>
      <w:proofErr w:type="spellStart"/>
      <w:r>
        <w:t>nM</w:t>
      </w:r>
      <w:proofErr w:type="spellEnd"/>
      <w:r>
        <w:t xml:space="preserve">, respectively. </w:t>
      </w:r>
      <w:proofErr w:type="spellStart"/>
      <w:r>
        <w:t>Ledipasvir</w:t>
      </w:r>
      <w:proofErr w:type="spellEnd"/>
      <w:r>
        <w:t xml:space="preserve"> has substantially lower activity </w:t>
      </w:r>
      <w:proofErr w:type="spellStart"/>
      <w:r>
        <w:t>agamst</w:t>
      </w:r>
      <w:proofErr w:type="spellEnd"/>
      <w:r>
        <w:t xml:space="preserve"> genotypes 2a, 2b. </w:t>
      </w:r>
      <w:proofErr w:type="gramStart"/>
      <w:r>
        <w:t>3a,</w:t>
      </w:r>
      <w:proofErr w:type="gramEnd"/>
      <w:r>
        <w:t xml:space="preserve"> and 6e with </w:t>
      </w:r>
      <w:r>
        <w:rPr>
          <w:lang w:val="ru-RU" w:eastAsia="ru-RU" w:bidi="ru-RU"/>
        </w:rPr>
        <w:t>ЕС</w:t>
      </w:r>
      <w:r>
        <w:rPr>
          <w:vertAlign w:val="subscript"/>
          <w:lang w:val="ru-RU" w:eastAsia="ru-RU" w:bidi="ru-RU"/>
        </w:rPr>
        <w:t>М</w:t>
      </w:r>
      <w:r w:rsidRPr="002248DD">
        <w:rPr>
          <w:lang w:eastAsia="ru-RU" w:bidi="ru-RU"/>
        </w:rPr>
        <w:t xml:space="preserve"> </w:t>
      </w:r>
      <w:r>
        <w:t xml:space="preserve">values of 21-249 </w:t>
      </w:r>
      <w:proofErr w:type="spellStart"/>
      <w:r>
        <w:t>nM</w:t>
      </w:r>
      <w:proofErr w:type="spellEnd"/>
      <w:r>
        <w:t xml:space="preserve">, 16-530 </w:t>
      </w:r>
      <w:proofErr w:type="spellStart"/>
      <w:r>
        <w:t>nM</w:t>
      </w:r>
      <w:proofErr w:type="spellEnd"/>
      <w:r>
        <w:t xml:space="preserve">, 168 </w:t>
      </w:r>
      <w:proofErr w:type="spellStart"/>
      <w:r>
        <w:t>nM</w:t>
      </w:r>
      <w:proofErr w:type="spellEnd"/>
      <w:r>
        <w:t xml:space="preserve">, and 264 </w:t>
      </w:r>
      <w:proofErr w:type="spellStart"/>
      <w:r>
        <w:t>nM</w:t>
      </w:r>
      <w:proofErr w:type="spellEnd"/>
      <w:r>
        <w:t>.</w:t>
      </w:r>
    </w:p>
    <w:p w:rsidR="00E12BB4" w:rsidRDefault="003A60A2">
      <w:pPr>
        <w:pStyle w:val="2"/>
        <w:shd w:val="clear" w:color="auto" w:fill="auto"/>
        <w:spacing w:after="0" w:line="139" w:lineRule="exact"/>
        <w:ind w:left="140" w:right="40" w:firstLine="0"/>
        <w:jc w:val="both"/>
      </w:pPr>
      <w:r>
        <w:t>In HCV replicon assays, the EGr</w:t>
      </w:r>
      <w:r>
        <w:rPr>
          <w:vertAlign w:val="subscript"/>
        </w:rPr>
        <w:t>0</w:t>
      </w:r>
      <w:r>
        <w:t xml:space="preserve"> values of </w:t>
      </w:r>
      <w:proofErr w:type="spellStart"/>
      <w:r>
        <w:t>sofosbuvir</w:t>
      </w:r>
      <w:proofErr w:type="spellEnd"/>
      <w:r>
        <w:t xml:space="preserve"> against full-length </w:t>
      </w:r>
      <w:proofErr w:type="spellStart"/>
      <w:r>
        <w:t>reptteons</w:t>
      </w:r>
      <w:proofErr w:type="spellEnd"/>
      <w:r>
        <w:t xml:space="preserve"> from </w:t>
      </w:r>
    </w:p>
    <w:p w:rsidR="00E12BB4" w:rsidRDefault="003A60A2">
      <w:pPr>
        <w:pStyle w:val="23"/>
        <w:shd w:val="clear" w:color="auto" w:fill="auto"/>
        <w:spacing w:before="0" w:line="173" w:lineRule="exact"/>
        <w:ind w:left="140" w:right="3900"/>
        <w:jc w:val="left"/>
      </w:pPr>
      <w:r>
        <w:t xml:space="preserve">Resistance </w:t>
      </w:r>
      <w:proofErr w:type="gramStart"/>
      <w:r>
        <w:t>In</w:t>
      </w:r>
      <w:proofErr w:type="gramEnd"/>
      <w:r>
        <w:t xml:space="preserve"> Cell Culture</w:t>
      </w:r>
    </w:p>
    <w:p w:rsidR="00E12BB4" w:rsidRDefault="003A60A2">
      <w:pPr>
        <w:pStyle w:val="2"/>
        <w:shd w:val="clear" w:color="auto" w:fill="auto"/>
        <w:spacing w:after="0" w:line="144" w:lineRule="exact"/>
        <w:ind w:left="140" w:right="40" w:firstLine="0"/>
        <w:jc w:val="both"/>
      </w:pPr>
      <w:r>
        <w:t xml:space="preserve">HCV rec cons with reduced susceptibility to </w:t>
      </w:r>
      <w:proofErr w:type="spellStart"/>
      <w:r>
        <w:t>ledipasvir</w:t>
      </w:r>
      <w:proofErr w:type="spellEnd"/>
      <w:r>
        <w:t xml:space="preserve"> have been selected in cell culture for </w:t>
      </w:r>
      <w:proofErr w:type="spellStart"/>
      <w:r>
        <w:t>genct</w:t>
      </w:r>
      <w:proofErr w:type="spellEnd"/>
      <w:r>
        <w:t xml:space="preserve"> .</w:t>
      </w:r>
      <w:proofErr w:type="spellStart"/>
      <w:r>
        <w:t>pes</w:t>
      </w:r>
      <w:proofErr w:type="spellEnd"/>
      <w:r>
        <w:t xml:space="preserve"> 1a and 1b. Reduced susceptibility to </w:t>
      </w:r>
      <w:proofErr w:type="spellStart"/>
      <w:r>
        <w:t>ledipasvir</w:t>
      </w:r>
      <w:proofErr w:type="spellEnd"/>
      <w:r>
        <w:t xml:space="preserve"> was associated with the </w:t>
      </w:r>
      <w:proofErr w:type="spellStart"/>
      <w:r>
        <w:t>prima</w:t>
      </w:r>
      <w:r>
        <w:rPr>
          <w:vertAlign w:val="superscript"/>
        </w:rPr>
        <w:t>r</w:t>
      </w:r>
      <w:proofErr w:type="spellEnd"/>
      <w:r>
        <w:t xml:space="preserve">, NS5A amino acid substitution Y93H in both genotypes 1a and 1b. Additionally, a Q30E substitution emerged in genotype 1a replicons. Site-directed mutagenesis of the Y93H in both </w:t>
      </w:r>
      <w:r>
        <w:lastRenderedPageBreak/>
        <w:t xml:space="preserve">genotypes 1a and 1b, as well as the Q30E substitution In genotype 1a, conferred high levels of reduced susceptibility to </w:t>
      </w:r>
      <w:proofErr w:type="spellStart"/>
      <w:r>
        <w:t>ledipasvir</w:t>
      </w:r>
      <w:proofErr w:type="spellEnd"/>
      <w:r>
        <w:t xml:space="preserve"> (fold change in EC</w:t>
      </w:r>
      <w:r>
        <w:rPr>
          <w:vertAlign w:val="subscript"/>
        </w:rPr>
        <w:t>S0</w:t>
      </w:r>
      <w:r>
        <w:t xml:space="preserve"> greater than 1000- fold).</w:t>
      </w:r>
    </w:p>
    <w:p w:rsidR="00E12BB4" w:rsidRDefault="003A60A2">
      <w:pPr>
        <w:pStyle w:val="2"/>
        <w:shd w:val="clear" w:color="auto" w:fill="auto"/>
        <w:spacing w:after="0" w:line="144" w:lineRule="exact"/>
        <w:ind w:left="140" w:right="40" w:firstLine="0"/>
        <w:jc w:val="both"/>
      </w:pPr>
      <w:r>
        <w:t xml:space="preserve">HCV replicons with reduced susceptibility to </w:t>
      </w:r>
      <w:proofErr w:type="spellStart"/>
      <w:r>
        <w:t>sofosbuvir</w:t>
      </w:r>
      <w:proofErr w:type="spellEnd"/>
      <w:r>
        <w:t xml:space="preserve"> have been selected in cell cul</w:t>
      </w:r>
      <w:r>
        <w:softHyphen/>
        <w:t>ture for multiple genotypes including 1 b, 2a, 2b, 3a, 4a, 5a, and 6a. Reduced susceptibil</w:t>
      </w:r>
      <w:r>
        <w:softHyphen/>
        <w:t xml:space="preserve">ity to </w:t>
      </w:r>
      <w:proofErr w:type="spellStart"/>
      <w:r>
        <w:t>sofosbuvir</w:t>
      </w:r>
      <w:proofErr w:type="spellEnd"/>
      <w:r>
        <w:t xml:space="preserve"> was associated with the primary NS5B substitution S282T in all replicon genotypes examined. Site-directed mutagenesis of the S282T substitution in replicons of 8 genotypes conferred 2-to 18-fold reduced susceptibility to </w:t>
      </w:r>
      <w:proofErr w:type="spellStart"/>
      <w:r>
        <w:t>sofosbuvir</w:t>
      </w:r>
      <w:proofErr w:type="spellEnd"/>
      <w:r>
        <w:t>.</w:t>
      </w:r>
    </w:p>
    <w:p w:rsidR="00E12BB4" w:rsidRDefault="003A60A2">
      <w:pPr>
        <w:pStyle w:val="23"/>
        <w:shd w:val="clear" w:color="auto" w:fill="auto"/>
        <w:spacing w:before="0" w:line="139" w:lineRule="exact"/>
        <w:ind w:left="140"/>
      </w:pPr>
      <w:r>
        <w:t>Cross Resistance</w:t>
      </w:r>
    </w:p>
    <w:p w:rsidR="00E12BB4" w:rsidRDefault="003A60A2">
      <w:pPr>
        <w:pStyle w:val="2"/>
        <w:shd w:val="clear" w:color="auto" w:fill="auto"/>
        <w:spacing w:after="0" w:line="139" w:lineRule="exact"/>
        <w:ind w:left="140" w:right="40" w:firstLine="0"/>
        <w:jc w:val="both"/>
      </w:pPr>
      <w:proofErr w:type="spellStart"/>
      <w:r>
        <w:t>Ledipasvir</w:t>
      </w:r>
      <w:proofErr w:type="spellEnd"/>
      <w:r>
        <w:t xml:space="preserve"> was fully active against the </w:t>
      </w:r>
      <w:proofErr w:type="spellStart"/>
      <w:r>
        <w:t>sofosbuvir</w:t>
      </w:r>
      <w:proofErr w:type="spellEnd"/>
      <w:r>
        <w:t xml:space="preserve"> resistance-associated substitution S282T in NS5B while all </w:t>
      </w:r>
      <w:proofErr w:type="spellStart"/>
      <w:r>
        <w:t>ledipasvir</w:t>
      </w:r>
      <w:proofErr w:type="spellEnd"/>
      <w:r>
        <w:t xml:space="preserve"> resistance-associated substitutions in NS5A were fully susceptible to </w:t>
      </w:r>
      <w:proofErr w:type="spellStart"/>
      <w:r>
        <w:t>sofosbuvir</w:t>
      </w:r>
      <w:proofErr w:type="spellEnd"/>
      <w:r>
        <w:t xml:space="preserve">. Both </w:t>
      </w:r>
      <w:proofErr w:type="spellStart"/>
      <w:r>
        <w:t>sofosbuvir</w:t>
      </w:r>
      <w:proofErr w:type="spellEnd"/>
      <w:r>
        <w:t xml:space="preserve"> and </w:t>
      </w:r>
      <w:proofErr w:type="spellStart"/>
      <w:r>
        <w:t>ledipasvir</w:t>
      </w:r>
      <w:proofErr w:type="spellEnd"/>
      <w:r>
        <w:t xml:space="preserve"> were fully active against substitutions associated with resistance to other classes of direct-acting antivirals with different mechanisms of actions, such as NS5B non-nucleoside inhibitors and NS3 pro</w:t>
      </w:r>
      <w:r>
        <w:softHyphen/>
        <w:t xml:space="preserve">tease inhibitors. NS5A substitutions conferring resistance to </w:t>
      </w:r>
      <w:proofErr w:type="spellStart"/>
      <w:r>
        <w:t>ledipasvir</w:t>
      </w:r>
      <w:proofErr w:type="spellEnd"/>
      <w:r>
        <w:t xml:space="preserve"> may reduce the antiviral activity of other NS5A inhibitors. The efficacy of </w:t>
      </w:r>
      <w:proofErr w:type="spellStart"/>
      <w:r>
        <w:t>ledipasvir</w:t>
      </w:r>
      <w:proofErr w:type="spellEnd"/>
      <w:r>
        <w:t>/</w:t>
      </w:r>
      <w:proofErr w:type="spellStart"/>
      <w:r>
        <w:t>sofosbuvir</w:t>
      </w:r>
      <w:proofErr w:type="spellEnd"/>
      <w:r>
        <w:t xml:space="preserve"> has not been established in patients who have previously failed treatment with other regimens that include an NS5A inhibitor.</w:t>
      </w:r>
    </w:p>
    <w:p w:rsidR="00E12BB4" w:rsidRDefault="003A60A2">
      <w:pPr>
        <w:pStyle w:val="23"/>
        <w:numPr>
          <w:ilvl w:val="0"/>
          <w:numId w:val="3"/>
        </w:numPr>
        <w:shd w:val="clear" w:color="auto" w:fill="auto"/>
        <w:spacing w:before="0" w:line="110" w:lineRule="exact"/>
        <w:ind w:left="140"/>
      </w:pPr>
      <w:r>
        <w:t xml:space="preserve"> INDICATIONS AND USAGE</w:t>
      </w:r>
    </w:p>
    <w:p w:rsidR="00E12BB4" w:rsidRDefault="003A60A2">
      <w:pPr>
        <w:pStyle w:val="2"/>
        <w:shd w:val="clear" w:color="auto" w:fill="auto"/>
        <w:spacing w:after="0" w:line="110" w:lineRule="exact"/>
        <w:ind w:firstLine="0"/>
      </w:pPr>
      <w:r>
        <w:t xml:space="preserve">— HEPCINAT-LP is indicated for the treatment of chronic hepatitis </w:t>
      </w:r>
      <w:r>
        <w:rPr>
          <w:lang w:val="ru-RU" w:eastAsia="ru-RU" w:bidi="ru-RU"/>
        </w:rPr>
        <w:t>С</w:t>
      </w:r>
      <w:r w:rsidRPr="002248DD">
        <w:rPr>
          <w:lang w:eastAsia="ru-RU" w:bidi="ru-RU"/>
        </w:rPr>
        <w:t xml:space="preserve"> </w:t>
      </w:r>
      <w:r>
        <w:t>(CHC) genotype 1</w:t>
      </w:r>
    </w:p>
    <w:p w:rsidR="00E12BB4" w:rsidRDefault="003A60A2">
      <w:pPr>
        <w:pStyle w:val="2"/>
        <w:shd w:val="clear" w:color="auto" w:fill="auto"/>
        <w:spacing w:after="0" w:line="110" w:lineRule="exact"/>
        <w:ind w:left="140" w:firstLine="0"/>
        <w:jc w:val="both"/>
      </w:pPr>
      <w:proofErr w:type="gramStart"/>
      <w:r>
        <w:t>infection</w:t>
      </w:r>
      <w:proofErr w:type="gramEnd"/>
      <w:r>
        <w:t xml:space="preserve"> in adults.</w:t>
      </w:r>
    </w:p>
    <w:p w:rsidR="00E12BB4" w:rsidRDefault="003A60A2">
      <w:pPr>
        <w:pStyle w:val="23"/>
        <w:numPr>
          <w:ilvl w:val="0"/>
          <w:numId w:val="4"/>
        </w:numPr>
        <w:shd w:val="clear" w:color="auto" w:fill="auto"/>
        <w:spacing w:before="0" w:line="139" w:lineRule="exact"/>
        <w:ind w:left="140"/>
      </w:pPr>
      <w:r>
        <w:t xml:space="preserve"> DOSAGE AND ADMINISTRATION</w:t>
      </w:r>
    </w:p>
    <w:p w:rsidR="00E12BB4" w:rsidRDefault="003A60A2">
      <w:pPr>
        <w:pStyle w:val="23"/>
        <w:numPr>
          <w:ilvl w:val="0"/>
          <w:numId w:val="4"/>
        </w:numPr>
        <w:shd w:val="clear" w:color="auto" w:fill="auto"/>
        <w:spacing w:before="0" w:line="139" w:lineRule="exact"/>
        <w:ind w:left="140"/>
      </w:pPr>
      <w:r>
        <w:t xml:space="preserve"> Recommended Dosage in Adults</w:t>
      </w:r>
    </w:p>
    <w:p w:rsidR="00E12BB4" w:rsidRDefault="003A60A2">
      <w:pPr>
        <w:pStyle w:val="2"/>
        <w:shd w:val="clear" w:color="auto" w:fill="auto"/>
        <w:spacing w:after="0" w:line="139" w:lineRule="exact"/>
        <w:ind w:left="140" w:right="40" w:firstLine="0"/>
        <w:jc w:val="both"/>
      </w:pPr>
      <w:r>
        <w:t xml:space="preserve">HEPCINAT-LP is a two-drug fixed-dose combination product that contains 90 mg of </w:t>
      </w:r>
      <w:proofErr w:type="spellStart"/>
      <w:r>
        <w:t>ledipasv</w:t>
      </w:r>
      <w:proofErr w:type="spellEnd"/>
      <w:r>
        <w:t xml:space="preserve"> </w:t>
      </w:r>
      <w:r>
        <w:rPr>
          <w:rStyle w:val="a5"/>
        </w:rPr>
        <w:t>r</w:t>
      </w:r>
      <w:r>
        <w:t xml:space="preserve"> and 400 mg of </w:t>
      </w:r>
      <w:proofErr w:type="spellStart"/>
      <w:r>
        <w:t>sofosbuvir</w:t>
      </w:r>
      <w:proofErr w:type="spellEnd"/>
      <w:r>
        <w:t xml:space="preserve"> in a single tablet. The recommended dosage of HEPCi‘.A7-LP is one tablet taken orally once daily with or without food.</w:t>
      </w:r>
    </w:p>
    <w:p w:rsidR="00E12BB4" w:rsidRDefault="003A60A2">
      <w:pPr>
        <w:pStyle w:val="23"/>
        <w:shd w:val="clear" w:color="auto" w:fill="auto"/>
        <w:spacing w:before="0" w:line="154" w:lineRule="exact"/>
        <w:ind w:left="140"/>
      </w:pPr>
      <w:r>
        <w:t>Duration of Treatment</w:t>
      </w:r>
    </w:p>
    <w:p w:rsidR="00E12BB4" w:rsidRDefault="003A60A2">
      <w:pPr>
        <w:pStyle w:val="2"/>
        <w:shd w:val="clear" w:color="auto" w:fill="auto"/>
        <w:tabs>
          <w:tab w:val="left" w:pos="961"/>
        </w:tabs>
        <w:spacing w:after="0" w:line="154" w:lineRule="exact"/>
        <w:ind w:left="140" w:right="40" w:firstLine="0"/>
        <w:jc w:val="both"/>
      </w:pPr>
      <w:r>
        <w:t>Relapse rates are affected by baseline host and viral factors and differ between treat</w:t>
      </w:r>
      <w:r>
        <w:softHyphen/>
        <w:t xml:space="preserve">ment </w:t>
      </w:r>
      <w:proofErr w:type="spellStart"/>
      <w:r>
        <w:t>dura</w:t>
      </w:r>
      <w:proofErr w:type="spellEnd"/>
      <w:r>
        <w:t>:</w:t>
      </w:r>
      <w:r>
        <w:tab/>
        <w:t>for certain subgroups.</w:t>
      </w:r>
    </w:p>
    <w:p w:rsidR="00E12BB4" w:rsidRDefault="003A60A2" w:rsidP="002248DD">
      <w:pPr>
        <w:pStyle w:val="2"/>
        <w:shd w:val="clear" w:color="auto" w:fill="auto"/>
        <w:spacing w:after="0" w:line="154" w:lineRule="exact"/>
        <w:ind w:left="140" w:right="40" w:firstLine="0"/>
      </w:pPr>
      <w:r>
        <w:t xml:space="preserve">Table 1 below provides the recommended HEPCINAT-LP treatment durations </w:t>
      </w:r>
      <w:proofErr w:type="spellStart"/>
      <w:r>
        <w:t>fof</w:t>
      </w:r>
      <w:proofErr w:type="spellEnd"/>
      <w:r>
        <w:t xml:space="preserve"> treat</w:t>
      </w:r>
      <w:r>
        <w:softHyphen/>
        <w:t xml:space="preserve">ment-naive and treatment-experienced patients and those with and without cirrhosis. </w:t>
      </w:r>
      <w:r>
        <w:rPr>
          <w:rStyle w:val="a6"/>
        </w:rPr>
        <w:t xml:space="preserve">Table </w:t>
      </w:r>
      <w:proofErr w:type="gramStart"/>
      <w:r>
        <w:rPr>
          <w:rStyle w:val="a6"/>
        </w:rPr>
        <w:t>1 Recommended Treatment Duration</w:t>
      </w:r>
      <w:proofErr w:type="gramEnd"/>
      <w:r>
        <w:rPr>
          <w:rStyle w:val="a6"/>
        </w:rPr>
        <w:t xml:space="preserve"> for HEPCINAT-LP in Patients with CHC Genotype 1</w:t>
      </w:r>
    </w:p>
    <w:p w:rsidR="00E12BB4" w:rsidRDefault="003A60A2">
      <w:pPr>
        <w:pStyle w:val="a9"/>
        <w:framePr w:w="4666" w:wrap="notBeside" w:vAnchor="text" w:hAnchor="text" w:xAlign="center" w:y="1"/>
        <w:shd w:val="clear" w:color="auto" w:fill="auto"/>
      </w:pPr>
      <w:r>
        <w:t xml:space="preserve">Table </w:t>
      </w:r>
      <w:proofErr w:type="gramStart"/>
      <w:r>
        <w:t>1 Recommended Treatment Duration</w:t>
      </w:r>
      <w:proofErr w:type="gramEnd"/>
      <w:r>
        <w:t xml:space="preserve"> for HEPCINAT-LP in Patients with CHC Genotype 1</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19"/>
        <w:gridCol w:w="2246"/>
      </w:tblGrid>
      <w:tr w:rsidR="00E12BB4">
        <w:trPr>
          <w:trHeight w:hRule="exact" w:val="288"/>
          <w:jc w:val="center"/>
        </w:trPr>
        <w:tc>
          <w:tcPr>
            <w:tcW w:w="2419"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a7"/>
              </w:rPr>
              <w:t>Patient Population</w:t>
            </w:r>
          </w:p>
        </w:tc>
        <w:tc>
          <w:tcPr>
            <w:tcW w:w="2246" w:type="dxa"/>
            <w:tcBorders>
              <w:top w:val="single" w:sz="4" w:space="0" w:color="auto"/>
              <w:left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a7"/>
              </w:rPr>
              <w:t>Recommended Treatment Duration</w:t>
            </w:r>
          </w:p>
        </w:tc>
      </w:tr>
      <w:tr w:rsidR="00E12BB4">
        <w:trPr>
          <w:trHeight w:hRule="exact" w:val="202"/>
          <w:jc w:val="center"/>
        </w:trPr>
        <w:tc>
          <w:tcPr>
            <w:tcW w:w="2419" w:type="dxa"/>
            <w:tcBorders>
              <w:top w:val="single" w:sz="4" w:space="0" w:color="auto"/>
              <w:left w:val="single" w:sz="4" w:space="0" w:color="auto"/>
            </w:tcBorders>
            <w:shd w:val="clear" w:color="auto" w:fill="FFFFFF"/>
            <w:vAlign w:val="bottom"/>
          </w:tcPr>
          <w:p w:rsidR="00E12BB4" w:rsidRDefault="003A60A2">
            <w:pPr>
              <w:pStyle w:val="2"/>
              <w:framePr w:w="4666" w:wrap="notBeside" w:vAnchor="text" w:hAnchor="text" w:xAlign="center" w:y="1"/>
              <w:shd w:val="clear" w:color="auto" w:fill="auto"/>
              <w:spacing w:after="0" w:line="110" w:lineRule="exact"/>
              <w:ind w:left="80" w:firstLine="0"/>
            </w:pPr>
            <w:r>
              <w:rPr>
                <w:rStyle w:val="12"/>
              </w:rPr>
              <w:t>Treatment-naive with or without cirrhosis</w:t>
            </w:r>
          </w:p>
        </w:tc>
        <w:tc>
          <w:tcPr>
            <w:tcW w:w="2246"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666" w:wrap="notBeside" w:vAnchor="text" w:hAnchor="text" w:xAlign="center" w:y="1"/>
              <w:shd w:val="clear" w:color="auto" w:fill="auto"/>
              <w:spacing w:after="0" w:line="110" w:lineRule="exact"/>
              <w:ind w:left="80" w:firstLine="0"/>
            </w:pPr>
            <w:r>
              <w:rPr>
                <w:rStyle w:val="12"/>
              </w:rPr>
              <w:t>12 weeks*</w:t>
            </w:r>
          </w:p>
        </w:tc>
      </w:tr>
      <w:tr w:rsidR="00E12BB4">
        <w:trPr>
          <w:trHeight w:hRule="exact" w:val="67"/>
          <w:jc w:val="center"/>
        </w:trPr>
        <w:tc>
          <w:tcPr>
            <w:tcW w:w="2419" w:type="dxa"/>
            <w:tcBorders>
              <w:top w:val="single" w:sz="4" w:space="0" w:color="auto"/>
              <w:left w:val="single" w:sz="4" w:space="0" w:color="auto"/>
            </w:tcBorders>
            <w:shd w:val="clear" w:color="auto" w:fill="FFFFFF"/>
          </w:tcPr>
          <w:p w:rsidR="00E12BB4" w:rsidRDefault="00E12BB4">
            <w:pPr>
              <w:framePr w:w="4666" w:wrap="notBeside" w:vAnchor="text" w:hAnchor="text" w:xAlign="center" w:y="1"/>
              <w:rPr>
                <w:sz w:val="10"/>
                <w:szCs w:val="10"/>
              </w:rPr>
            </w:pPr>
          </w:p>
        </w:tc>
        <w:tc>
          <w:tcPr>
            <w:tcW w:w="2246" w:type="dxa"/>
            <w:tcBorders>
              <w:top w:val="single" w:sz="4" w:space="0" w:color="auto"/>
              <w:left w:val="single" w:sz="4" w:space="0" w:color="auto"/>
              <w:right w:val="single" w:sz="4" w:space="0" w:color="auto"/>
            </w:tcBorders>
            <w:shd w:val="clear" w:color="auto" w:fill="FFFFFF"/>
          </w:tcPr>
          <w:p w:rsidR="00E12BB4" w:rsidRDefault="00E12BB4">
            <w:pPr>
              <w:framePr w:w="4666" w:wrap="notBeside" w:vAnchor="text" w:hAnchor="text" w:xAlign="center" w:y="1"/>
              <w:rPr>
                <w:sz w:val="10"/>
                <w:szCs w:val="10"/>
              </w:rPr>
            </w:pPr>
          </w:p>
        </w:tc>
      </w:tr>
      <w:tr w:rsidR="00E12BB4">
        <w:trPr>
          <w:trHeight w:hRule="exact" w:val="278"/>
          <w:jc w:val="center"/>
        </w:trPr>
        <w:tc>
          <w:tcPr>
            <w:tcW w:w="2419"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12"/>
              </w:rPr>
              <w:t>Treatment-experienced” without cirrhosis</w:t>
            </w:r>
          </w:p>
        </w:tc>
        <w:tc>
          <w:tcPr>
            <w:tcW w:w="2246" w:type="dxa"/>
            <w:tcBorders>
              <w:top w:val="single" w:sz="4" w:space="0" w:color="auto"/>
              <w:left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12"/>
              </w:rPr>
              <w:t>12 weeks</w:t>
            </w:r>
          </w:p>
        </w:tc>
      </w:tr>
      <w:tr w:rsidR="00E12BB4">
        <w:trPr>
          <w:trHeight w:hRule="exact" w:val="288"/>
          <w:jc w:val="center"/>
        </w:trPr>
        <w:tc>
          <w:tcPr>
            <w:tcW w:w="2419" w:type="dxa"/>
            <w:tcBorders>
              <w:top w:val="single" w:sz="4" w:space="0" w:color="auto"/>
              <w:left w:val="single" w:sz="4" w:space="0" w:color="auto"/>
              <w:bottom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12"/>
              </w:rPr>
              <w:t>Treatment-experienced*’ with cirrhosis</w:t>
            </w:r>
          </w:p>
        </w:tc>
        <w:tc>
          <w:tcPr>
            <w:tcW w:w="2246" w:type="dxa"/>
            <w:tcBorders>
              <w:top w:val="single" w:sz="4" w:space="0" w:color="auto"/>
              <w:left w:val="single" w:sz="4" w:space="0" w:color="auto"/>
              <w:bottom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12"/>
              </w:rPr>
              <w:t>24 weeks</w:t>
            </w:r>
          </w:p>
        </w:tc>
      </w:tr>
    </w:tbl>
    <w:p w:rsidR="00E12BB4" w:rsidRDefault="00E12BB4">
      <w:pPr>
        <w:rPr>
          <w:sz w:val="2"/>
          <w:szCs w:val="2"/>
        </w:rPr>
      </w:pPr>
    </w:p>
    <w:p w:rsidR="00E12BB4" w:rsidRDefault="003A60A2">
      <w:pPr>
        <w:pStyle w:val="2"/>
        <w:shd w:val="clear" w:color="auto" w:fill="auto"/>
        <w:spacing w:after="0" w:line="154" w:lineRule="exact"/>
        <w:ind w:left="20" w:right="40" w:firstLine="0"/>
      </w:pPr>
      <w:r>
        <w:t>* HEPCINAT-LP for 8 weeks can be considered in treatment-naive patients without cir</w:t>
      </w:r>
      <w:r>
        <w:softHyphen/>
        <w:t xml:space="preserve">rhosis who have </w:t>
      </w:r>
      <w:proofErr w:type="gramStart"/>
      <w:r>
        <w:t xml:space="preserve">pre-treatment HCV RNA less than 6 million </w:t>
      </w:r>
      <w:proofErr w:type="spellStart"/>
      <w:r>
        <w:t>lU</w:t>
      </w:r>
      <w:proofErr w:type="spellEnd"/>
      <w:r>
        <w:t>/</w:t>
      </w:r>
      <w:proofErr w:type="spellStart"/>
      <w:r>
        <w:t>mL</w:t>
      </w:r>
      <w:proofErr w:type="gramEnd"/>
      <w:r>
        <w:t>.</w:t>
      </w:r>
      <w:proofErr w:type="spellEnd"/>
      <w:r>
        <w:t xml:space="preserve"> “Treatment-experienced patients who have failed treatment with </w:t>
      </w:r>
      <w:proofErr w:type="gramStart"/>
      <w:r>
        <w:t xml:space="preserve">either </w:t>
      </w:r>
      <w:proofErr w:type="spellStart"/>
      <w:r>
        <w:t>peginterferon</w:t>
      </w:r>
      <w:proofErr w:type="spellEnd"/>
      <w:proofErr w:type="gramEnd"/>
      <w:r>
        <w:t xml:space="preserve"> </w:t>
      </w:r>
      <w:proofErr w:type="spellStart"/>
      <w:r>
        <w:t>alfa</w:t>
      </w:r>
      <w:proofErr w:type="spellEnd"/>
      <w:r>
        <w:t xml:space="preserve"> + ribavirin or an HCV protease inhibitor + </w:t>
      </w:r>
      <w:proofErr w:type="spellStart"/>
      <w:r>
        <w:t>peginterferon</w:t>
      </w:r>
      <w:proofErr w:type="spellEnd"/>
      <w:r>
        <w:t xml:space="preserve"> </w:t>
      </w:r>
      <w:proofErr w:type="spellStart"/>
      <w:r>
        <w:t>alfa</w:t>
      </w:r>
      <w:proofErr w:type="spellEnd"/>
      <w:r>
        <w:t xml:space="preserve"> + ribavirin.</w:t>
      </w:r>
    </w:p>
    <w:p w:rsidR="00E12BB4" w:rsidRDefault="003A60A2">
      <w:pPr>
        <w:pStyle w:val="23"/>
        <w:numPr>
          <w:ilvl w:val="0"/>
          <w:numId w:val="5"/>
        </w:numPr>
        <w:shd w:val="clear" w:color="auto" w:fill="auto"/>
        <w:tabs>
          <w:tab w:val="left" w:pos="314"/>
        </w:tabs>
        <w:spacing w:before="0" w:after="23" w:line="110" w:lineRule="exact"/>
        <w:ind w:left="20"/>
      </w:pPr>
      <w:r>
        <w:t>Severe Renal Impairment and End Stage Renal Disease</w:t>
      </w:r>
    </w:p>
    <w:p w:rsidR="00E12BB4" w:rsidRDefault="003A60A2">
      <w:pPr>
        <w:pStyle w:val="2"/>
        <w:shd w:val="clear" w:color="auto" w:fill="auto"/>
        <w:spacing w:after="83" w:line="139" w:lineRule="exact"/>
        <w:ind w:left="20" w:right="40" w:firstLine="0"/>
        <w:jc w:val="both"/>
      </w:pPr>
      <w:r>
        <w:t>No dose recommendation can be given for patients with severe renal impairment (es</w:t>
      </w:r>
      <w:r>
        <w:softHyphen/>
        <w:t>timated Glomerular Filtration Rate [</w:t>
      </w:r>
      <w:proofErr w:type="spellStart"/>
      <w:r>
        <w:t>eGFR</w:t>
      </w:r>
      <w:proofErr w:type="spellEnd"/>
      <w:r>
        <w:t>] &lt;30 mL/min/1.73m</w:t>
      </w:r>
      <w:r>
        <w:rPr>
          <w:vertAlign w:val="superscript"/>
        </w:rPr>
        <w:t>2</w:t>
      </w:r>
      <w:r>
        <w:t xml:space="preserve">) or with end stage renal disease (ESRD) due to higher exposures (up to 20-fold) of the predominant </w:t>
      </w:r>
      <w:proofErr w:type="spellStart"/>
      <w:r>
        <w:t>sofosbuvir</w:t>
      </w:r>
      <w:proofErr w:type="spellEnd"/>
      <w:r>
        <w:t xml:space="preserve"> metabolite.</w:t>
      </w:r>
    </w:p>
    <w:p w:rsidR="00E12BB4" w:rsidRDefault="003A60A2">
      <w:pPr>
        <w:pStyle w:val="23"/>
        <w:numPr>
          <w:ilvl w:val="0"/>
          <w:numId w:val="6"/>
        </w:numPr>
        <w:shd w:val="clear" w:color="auto" w:fill="auto"/>
        <w:spacing w:before="0" w:after="28" w:line="110" w:lineRule="exact"/>
        <w:ind w:left="20"/>
      </w:pPr>
      <w:r>
        <w:t xml:space="preserve"> DOSAGE FORMS AND STRENGTHS</w:t>
      </w:r>
    </w:p>
    <w:p w:rsidR="00E12BB4" w:rsidRDefault="003A60A2">
      <w:pPr>
        <w:pStyle w:val="2"/>
        <w:shd w:val="clear" w:color="auto" w:fill="auto"/>
        <w:spacing w:after="83" w:line="139" w:lineRule="exact"/>
        <w:ind w:left="20" w:right="40" w:firstLine="0"/>
        <w:jc w:val="both"/>
      </w:pPr>
      <w:r>
        <w:t xml:space="preserve">HEPCINAT-LP is available as </w:t>
      </w:r>
      <w:proofErr w:type="gramStart"/>
      <w:r>
        <w:t>an</w:t>
      </w:r>
      <w:proofErr w:type="gramEnd"/>
      <w:r>
        <w:t xml:space="preserve"> Yellow colored, oval shaped, film-coated tablet </w:t>
      </w:r>
      <w:proofErr w:type="spellStart"/>
      <w:r>
        <w:t>de</w:t>
      </w:r>
      <w:r>
        <w:softHyphen/>
        <w:t>bossed</w:t>
      </w:r>
      <w:proofErr w:type="spellEnd"/>
      <w:r>
        <w:t xml:space="preserve"> with “SL” on one side and plain on other side of the tablet. Each tablet contains 90 mg </w:t>
      </w:r>
      <w:proofErr w:type="spellStart"/>
      <w:r>
        <w:t>ledipasvir</w:t>
      </w:r>
      <w:proofErr w:type="spellEnd"/>
      <w:r>
        <w:t xml:space="preserve"> and 400 mg </w:t>
      </w:r>
      <w:proofErr w:type="spellStart"/>
      <w:r>
        <w:t>sofosbuvir</w:t>
      </w:r>
      <w:proofErr w:type="spellEnd"/>
      <w:r>
        <w:t>.</w:t>
      </w:r>
    </w:p>
    <w:p w:rsidR="00E12BB4" w:rsidRDefault="003A60A2">
      <w:pPr>
        <w:pStyle w:val="23"/>
        <w:numPr>
          <w:ilvl w:val="0"/>
          <w:numId w:val="7"/>
        </w:numPr>
        <w:shd w:val="clear" w:color="auto" w:fill="auto"/>
        <w:spacing w:before="0" w:line="110" w:lineRule="exact"/>
        <w:ind w:left="20"/>
      </w:pPr>
      <w:r>
        <w:t xml:space="preserve"> CONTRAINDICATIONS</w:t>
      </w:r>
    </w:p>
    <w:p w:rsidR="00E12BB4" w:rsidRDefault="003A60A2">
      <w:pPr>
        <w:pStyle w:val="2"/>
        <w:shd w:val="clear" w:color="auto" w:fill="auto"/>
        <w:spacing w:after="18" w:line="110" w:lineRule="exact"/>
        <w:ind w:left="20" w:firstLine="0"/>
        <w:jc w:val="both"/>
      </w:pPr>
      <w:r>
        <w:t>No studies have been conducted.</w:t>
      </w:r>
    </w:p>
    <w:p w:rsidR="00E12BB4" w:rsidRDefault="003A60A2">
      <w:pPr>
        <w:pStyle w:val="23"/>
        <w:numPr>
          <w:ilvl w:val="0"/>
          <w:numId w:val="8"/>
        </w:numPr>
        <w:shd w:val="clear" w:color="auto" w:fill="auto"/>
        <w:spacing w:before="0" w:line="139" w:lineRule="exact"/>
        <w:ind w:left="20"/>
      </w:pPr>
      <w:r>
        <w:t xml:space="preserve"> WARNINGS AND PRECAUTIONS</w:t>
      </w:r>
    </w:p>
    <w:p w:rsidR="00E12BB4" w:rsidRDefault="003A60A2">
      <w:pPr>
        <w:pStyle w:val="23"/>
        <w:numPr>
          <w:ilvl w:val="0"/>
          <w:numId w:val="8"/>
        </w:numPr>
        <w:shd w:val="clear" w:color="auto" w:fill="auto"/>
        <w:spacing w:before="0" w:line="139" w:lineRule="exact"/>
        <w:ind w:left="20"/>
      </w:pPr>
      <w:r>
        <w:t xml:space="preserve"> Serious Symptomatic </w:t>
      </w:r>
      <w:proofErr w:type="spellStart"/>
      <w:r>
        <w:t>Bradycardia</w:t>
      </w:r>
      <w:proofErr w:type="spellEnd"/>
      <w:r>
        <w:t xml:space="preserve"> When </w:t>
      </w:r>
      <w:proofErr w:type="spellStart"/>
      <w:r>
        <w:t>Coadministered</w:t>
      </w:r>
      <w:proofErr w:type="spellEnd"/>
      <w:r>
        <w:t xml:space="preserve"> with </w:t>
      </w:r>
      <w:proofErr w:type="spellStart"/>
      <w:r>
        <w:t>Amiodarone</w:t>
      </w:r>
      <w:proofErr w:type="spellEnd"/>
    </w:p>
    <w:p w:rsidR="00E12BB4" w:rsidRDefault="003A60A2">
      <w:pPr>
        <w:pStyle w:val="2"/>
        <w:shd w:val="clear" w:color="auto" w:fill="auto"/>
        <w:spacing w:after="0" w:line="139" w:lineRule="exact"/>
        <w:ind w:left="20" w:right="40" w:firstLine="0"/>
        <w:jc w:val="both"/>
      </w:pPr>
      <w:proofErr w:type="spellStart"/>
      <w:r>
        <w:t>Postmarketing</w:t>
      </w:r>
      <w:proofErr w:type="spellEnd"/>
      <w:r>
        <w:t xml:space="preserve"> cases of symptomatic </w:t>
      </w:r>
      <w:proofErr w:type="spellStart"/>
      <w:r>
        <w:t>bradycardia</w:t>
      </w:r>
      <w:proofErr w:type="spellEnd"/>
      <w:r>
        <w:t xml:space="preserve">, as well as fatal cardiac arrest and cases requiring pacemaker </w:t>
      </w:r>
      <w:proofErr w:type="gramStart"/>
      <w:r>
        <w:t>intervention,</w:t>
      </w:r>
      <w:proofErr w:type="gramEnd"/>
      <w:r>
        <w:t xml:space="preserve"> have been reported when </w:t>
      </w:r>
      <w:proofErr w:type="spellStart"/>
      <w:r>
        <w:t>amiodarone</w:t>
      </w:r>
      <w:proofErr w:type="spellEnd"/>
      <w:r>
        <w:t xml:space="preserve"> is </w:t>
      </w:r>
      <w:proofErr w:type="spellStart"/>
      <w:r>
        <w:t>co</w:t>
      </w:r>
      <w:r>
        <w:softHyphen/>
        <w:t>administered</w:t>
      </w:r>
      <w:proofErr w:type="spellEnd"/>
      <w:r>
        <w:t xml:space="preserve"> with </w:t>
      </w:r>
      <w:proofErr w:type="spellStart"/>
      <w:r>
        <w:t>Ledipasvir</w:t>
      </w:r>
      <w:proofErr w:type="spellEnd"/>
      <w:r>
        <w:t xml:space="preserve"> + </w:t>
      </w:r>
      <w:proofErr w:type="spellStart"/>
      <w:r>
        <w:t>Sofosbuvir</w:t>
      </w:r>
      <w:proofErr w:type="spellEnd"/>
      <w:r>
        <w:t xml:space="preserve">. </w:t>
      </w:r>
      <w:proofErr w:type="spellStart"/>
      <w:r>
        <w:t>Bradycardia</w:t>
      </w:r>
      <w:proofErr w:type="spellEnd"/>
      <w:r>
        <w:t xml:space="preserve"> has generally occurred within hours to days, but cases have been observed up to 2 weeks after initiating HCV treat</w:t>
      </w:r>
      <w:r>
        <w:softHyphen/>
        <w:t xml:space="preserve">ment. Patients also taking beta blockers, or those with underlying cardiac comorbidities and/or advanced liver disease may be at increased risk for symptomatic </w:t>
      </w:r>
      <w:proofErr w:type="spellStart"/>
      <w:r>
        <w:t>bradycardia</w:t>
      </w:r>
      <w:proofErr w:type="spellEnd"/>
      <w:r>
        <w:t xml:space="preserve"> with </w:t>
      </w:r>
      <w:proofErr w:type="spellStart"/>
      <w:r>
        <w:t>coadministration</w:t>
      </w:r>
      <w:proofErr w:type="spellEnd"/>
      <w:r>
        <w:t xml:space="preserve"> of </w:t>
      </w:r>
      <w:proofErr w:type="spellStart"/>
      <w:r>
        <w:t>amiodarone</w:t>
      </w:r>
      <w:proofErr w:type="spellEnd"/>
      <w:r>
        <w:t xml:space="preserve">. </w:t>
      </w:r>
      <w:proofErr w:type="spellStart"/>
      <w:r>
        <w:t>Bradycardia</w:t>
      </w:r>
      <w:proofErr w:type="spellEnd"/>
      <w:r>
        <w:t xml:space="preserve"> generally resolved after discontinua</w:t>
      </w:r>
      <w:r>
        <w:softHyphen/>
        <w:t>tion of HCV treatment. The mechanism for this effect is unknown.</w:t>
      </w:r>
    </w:p>
    <w:p w:rsidR="00E12BB4" w:rsidRDefault="003A60A2">
      <w:pPr>
        <w:pStyle w:val="2"/>
        <w:shd w:val="clear" w:color="auto" w:fill="auto"/>
        <w:spacing w:after="0" w:line="139" w:lineRule="exact"/>
        <w:ind w:left="20" w:right="40" w:firstLine="0"/>
        <w:jc w:val="both"/>
      </w:pPr>
      <w:proofErr w:type="spellStart"/>
      <w:r>
        <w:t>Coadministration</w:t>
      </w:r>
      <w:proofErr w:type="spellEnd"/>
      <w:r>
        <w:t xml:space="preserve"> of </w:t>
      </w:r>
      <w:proofErr w:type="spellStart"/>
      <w:r>
        <w:t>amiodarone</w:t>
      </w:r>
      <w:proofErr w:type="spellEnd"/>
      <w:r>
        <w:t xml:space="preserve"> with HEPCINAT-LP is not recommended. For patients taking </w:t>
      </w:r>
      <w:proofErr w:type="spellStart"/>
      <w:r>
        <w:t>amiodarone</w:t>
      </w:r>
      <w:proofErr w:type="spellEnd"/>
      <w:r>
        <w:t xml:space="preserve"> who have no other alternative, viable treatment options and who will be </w:t>
      </w:r>
      <w:proofErr w:type="spellStart"/>
      <w:r>
        <w:t>coadministered</w:t>
      </w:r>
      <w:proofErr w:type="spellEnd"/>
      <w:r>
        <w:t xml:space="preserve"> HEPCINAT-LP:</w:t>
      </w:r>
    </w:p>
    <w:p w:rsidR="00E12BB4" w:rsidRDefault="003A60A2">
      <w:pPr>
        <w:pStyle w:val="2"/>
        <w:numPr>
          <w:ilvl w:val="0"/>
          <w:numId w:val="9"/>
        </w:numPr>
        <w:shd w:val="clear" w:color="auto" w:fill="auto"/>
        <w:spacing w:after="0" w:line="139" w:lineRule="exact"/>
        <w:ind w:left="280" w:hanging="120"/>
        <w:jc w:val="both"/>
      </w:pPr>
      <w:r>
        <w:t xml:space="preserve"> Counsel patients about the risk of serious symptomatic </w:t>
      </w:r>
      <w:proofErr w:type="spellStart"/>
      <w:r>
        <w:t>bradycardia</w:t>
      </w:r>
      <w:proofErr w:type="spellEnd"/>
    </w:p>
    <w:p w:rsidR="00E12BB4" w:rsidRDefault="003A60A2">
      <w:pPr>
        <w:pStyle w:val="2"/>
        <w:numPr>
          <w:ilvl w:val="0"/>
          <w:numId w:val="9"/>
        </w:numPr>
        <w:shd w:val="clear" w:color="auto" w:fill="auto"/>
        <w:spacing w:after="0" w:line="139" w:lineRule="exact"/>
        <w:ind w:left="280" w:right="40" w:hanging="120"/>
        <w:jc w:val="both"/>
      </w:pPr>
      <w:r>
        <w:t xml:space="preserve"> Cardiac monitoring in </w:t>
      </w:r>
      <w:r>
        <w:rPr>
          <w:lang w:val="ru-RU" w:eastAsia="ru-RU" w:bidi="ru-RU"/>
        </w:rPr>
        <w:t>ал</w:t>
      </w:r>
      <w:r w:rsidRPr="002248DD">
        <w:rPr>
          <w:lang w:eastAsia="ru-RU" w:bidi="ru-RU"/>
        </w:rPr>
        <w:t xml:space="preserve"> </w:t>
      </w:r>
      <w:r>
        <w:t xml:space="preserve">in-patient setting for the first 48 hours of </w:t>
      </w:r>
      <w:proofErr w:type="spellStart"/>
      <w:r>
        <w:t>coadministration</w:t>
      </w:r>
      <w:proofErr w:type="spellEnd"/>
      <w:r>
        <w:t xml:space="preserve"> is recommended, after which outpatient or self-monitoring of the heart rate should occur on a daily basis through at least the first 2 weeks of treatment.</w:t>
      </w:r>
    </w:p>
    <w:p w:rsidR="00E12BB4" w:rsidRDefault="003A60A2">
      <w:pPr>
        <w:pStyle w:val="2"/>
        <w:shd w:val="clear" w:color="auto" w:fill="auto"/>
        <w:spacing w:after="0" w:line="144" w:lineRule="exact"/>
        <w:ind w:left="20" w:right="40" w:firstLine="0"/>
        <w:jc w:val="both"/>
      </w:pPr>
      <w:r>
        <w:t xml:space="preserve">Patients who are taking HEPCINAT-LP who need to start </w:t>
      </w:r>
      <w:proofErr w:type="spellStart"/>
      <w:r>
        <w:t>amiodarone</w:t>
      </w:r>
      <w:proofErr w:type="spellEnd"/>
      <w:r>
        <w:t xml:space="preserve"> therapy due to no other alternative, viable treatment options should undergo similar cardiac monitoring as outlined above.</w:t>
      </w:r>
    </w:p>
    <w:p w:rsidR="00E12BB4" w:rsidRDefault="003A60A2">
      <w:pPr>
        <w:pStyle w:val="2"/>
        <w:shd w:val="clear" w:color="auto" w:fill="auto"/>
        <w:spacing w:after="0" w:line="149" w:lineRule="exact"/>
        <w:ind w:left="20" w:right="40" w:firstLine="0"/>
      </w:pPr>
      <w:r>
        <w:t xml:space="preserve">Due to </w:t>
      </w:r>
      <w:proofErr w:type="spellStart"/>
      <w:r>
        <w:t>amiodarone’s</w:t>
      </w:r>
      <w:proofErr w:type="spellEnd"/>
      <w:r>
        <w:t xml:space="preserve"> long half-life, patients discontinuing </w:t>
      </w:r>
      <w:proofErr w:type="spellStart"/>
      <w:r>
        <w:t>amiodarone</w:t>
      </w:r>
      <w:proofErr w:type="spellEnd"/>
      <w:r>
        <w:t xml:space="preserve"> just prior to start</w:t>
      </w:r>
      <w:r>
        <w:softHyphen/>
        <w:t xml:space="preserve">ing HEPCINAT-LP should also undergo similar cardiac monitoring as outlined above. Patients who develop signs or symptoms of </w:t>
      </w:r>
      <w:proofErr w:type="spellStart"/>
      <w:r>
        <w:t>bradycardia</w:t>
      </w:r>
      <w:proofErr w:type="spellEnd"/>
      <w:r>
        <w:t xml:space="preserve"> should seek medical evaluation immediately. Symptoms may include near-fainting or fainting, dizziness or lightheaded</w:t>
      </w:r>
      <w:r>
        <w:softHyphen/>
        <w:t xml:space="preserve">ness, malaise, weakness, excessive tiredness, shortness of breath, chest pains, </w:t>
      </w:r>
      <w:proofErr w:type="gramStart"/>
      <w:r>
        <w:t>confu</w:t>
      </w:r>
      <w:r>
        <w:softHyphen/>
        <w:t>sion</w:t>
      </w:r>
      <w:proofErr w:type="gramEnd"/>
      <w:r>
        <w:t xml:space="preserve"> or memory problems.</w:t>
      </w:r>
    </w:p>
    <w:p w:rsidR="00E12BB4" w:rsidRDefault="003A60A2">
      <w:pPr>
        <w:pStyle w:val="23"/>
        <w:numPr>
          <w:ilvl w:val="0"/>
          <w:numId w:val="8"/>
        </w:numPr>
        <w:shd w:val="clear" w:color="auto" w:fill="auto"/>
        <w:spacing w:before="0" w:line="139" w:lineRule="exact"/>
        <w:ind w:left="20"/>
      </w:pPr>
      <w:r>
        <w:t xml:space="preserve"> Risk of Reduced Therapeutic Effect Due to P-</w:t>
      </w:r>
      <w:proofErr w:type="spellStart"/>
      <w:r>
        <w:t>gp</w:t>
      </w:r>
      <w:proofErr w:type="spellEnd"/>
      <w:r>
        <w:t xml:space="preserve"> Inducers</w:t>
      </w:r>
    </w:p>
    <w:p w:rsidR="00E12BB4" w:rsidRDefault="003A60A2">
      <w:pPr>
        <w:pStyle w:val="2"/>
        <w:shd w:val="clear" w:color="auto" w:fill="auto"/>
        <w:spacing w:after="0" w:line="139" w:lineRule="exact"/>
        <w:ind w:left="20" w:right="40" w:firstLine="0"/>
        <w:jc w:val="both"/>
      </w:pPr>
      <w:r>
        <w:t>The concomitant use of HEPCINAT-LP and P-</w:t>
      </w:r>
      <w:proofErr w:type="spellStart"/>
      <w:r>
        <w:t>gp</w:t>
      </w:r>
      <w:proofErr w:type="spellEnd"/>
      <w:r>
        <w:t xml:space="preserve"> inducers (e.g., rifampin, St. John’s </w:t>
      </w:r>
      <w:proofErr w:type="spellStart"/>
      <w:r>
        <w:t>wort</w:t>
      </w:r>
      <w:proofErr w:type="spellEnd"/>
      <w:r>
        <w:t xml:space="preserve">) may significantly decrease </w:t>
      </w:r>
      <w:proofErr w:type="spellStart"/>
      <w:r>
        <w:t>ledipasvir</w:t>
      </w:r>
      <w:proofErr w:type="spellEnd"/>
      <w:r>
        <w:t xml:space="preserve"> and </w:t>
      </w:r>
      <w:proofErr w:type="spellStart"/>
      <w:r>
        <w:t>sofosbuvir</w:t>
      </w:r>
      <w:proofErr w:type="spellEnd"/>
      <w:r>
        <w:t xml:space="preserve"> plasma concentrations and may lead to a reduced therapeutic effect of HEPCINAT-LP. Therefore, the use of HEP</w:t>
      </w:r>
      <w:r>
        <w:softHyphen/>
        <w:t>CINAT-LP with P-</w:t>
      </w:r>
      <w:proofErr w:type="spellStart"/>
      <w:r>
        <w:t>gp</w:t>
      </w:r>
      <w:proofErr w:type="spellEnd"/>
      <w:r>
        <w:t xml:space="preserve"> inducers (e.g., rifampin or St. John’s </w:t>
      </w:r>
      <w:proofErr w:type="spellStart"/>
      <w:r>
        <w:t>wort</w:t>
      </w:r>
      <w:proofErr w:type="spellEnd"/>
      <w:r>
        <w:t>) is not recommended.</w:t>
      </w:r>
    </w:p>
    <w:p w:rsidR="00E12BB4" w:rsidRDefault="003A60A2">
      <w:pPr>
        <w:pStyle w:val="23"/>
        <w:numPr>
          <w:ilvl w:val="0"/>
          <w:numId w:val="8"/>
        </w:numPr>
        <w:shd w:val="clear" w:color="auto" w:fill="auto"/>
        <w:tabs>
          <w:tab w:val="left" w:pos="443"/>
        </w:tabs>
        <w:spacing w:before="0" w:line="110" w:lineRule="exact"/>
        <w:ind w:left="140"/>
      </w:pPr>
      <w:r>
        <w:t>Related Products Not Recommended</w:t>
      </w:r>
    </w:p>
    <w:p w:rsidR="00E12BB4" w:rsidRDefault="003A60A2">
      <w:pPr>
        <w:pStyle w:val="2"/>
        <w:shd w:val="clear" w:color="auto" w:fill="auto"/>
        <w:spacing w:after="0" w:line="110" w:lineRule="exact"/>
        <w:ind w:left="140" w:firstLine="0"/>
        <w:jc w:val="both"/>
      </w:pPr>
      <w:r>
        <w:t xml:space="preserve">The use of HEPCINAT-LP with other products containing </w:t>
      </w:r>
      <w:proofErr w:type="spellStart"/>
      <w:r>
        <w:t>sofosbuvir</w:t>
      </w:r>
      <w:proofErr w:type="spellEnd"/>
      <w:r>
        <w:t xml:space="preserve"> is not recommended.</w:t>
      </w:r>
    </w:p>
    <w:p w:rsidR="00E12BB4" w:rsidRDefault="003A60A2">
      <w:pPr>
        <w:pStyle w:val="23"/>
        <w:numPr>
          <w:ilvl w:val="0"/>
          <w:numId w:val="10"/>
        </w:numPr>
        <w:shd w:val="clear" w:color="auto" w:fill="auto"/>
        <w:spacing w:before="0" w:line="144" w:lineRule="exact"/>
        <w:ind w:left="140"/>
      </w:pPr>
      <w:r>
        <w:t xml:space="preserve"> ADVERSE REACTIONS</w:t>
      </w:r>
    </w:p>
    <w:p w:rsidR="00E12BB4" w:rsidRDefault="003A60A2">
      <w:pPr>
        <w:pStyle w:val="23"/>
        <w:numPr>
          <w:ilvl w:val="0"/>
          <w:numId w:val="10"/>
        </w:numPr>
        <w:shd w:val="clear" w:color="auto" w:fill="auto"/>
        <w:spacing w:before="0" w:line="144" w:lineRule="exact"/>
        <w:ind w:left="140"/>
      </w:pPr>
      <w:r>
        <w:t xml:space="preserve"> Clinical Trials Experience</w:t>
      </w:r>
    </w:p>
    <w:p w:rsidR="00E12BB4" w:rsidRDefault="003A60A2">
      <w:pPr>
        <w:pStyle w:val="2"/>
        <w:shd w:val="clear" w:color="auto" w:fill="auto"/>
        <w:spacing w:after="0" w:line="144" w:lineRule="exact"/>
        <w:ind w:left="140" w:right="80" w:firstLine="0"/>
        <w:jc w:val="both"/>
      </w:pPr>
      <w:r>
        <w:t>The most common adverse reactions (&gt;10%) were fatigue and headache in subjects treated with 8</w:t>
      </w:r>
      <w:proofErr w:type="gramStart"/>
      <w:r>
        <w:t>,12</w:t>
      </w:r>
      <w:proofErr w:type="gramEnd"/>
      <w:r>
        <w:t>, or 24 weeks of HEPCINAT-LP.</w:t>
      </w:r>
    </w:p>
    <w:p w:rsidR="00E12BB4" w:rsidRDefault="003A60A2">
      <w:pPr>
        <w:pStyle w:val="2"/>
        <w:shd w:val="clear" w:color="auto" w:fill="auto"/>
        <w:spacing w:after="0" w:line="144" w:lineRule="exact"/>
        <w:ind w:left="140" w:right="80" w:firstLine="0"/>
        <w:jc w:val="both"/>
      </w:pPr>
      <w:r>
        <w:t>Table 2 lists adverse reactions (adverse events assessed as causally related by the in</w:t>
      </w:r>
      <w:r>
        <w:softHyphen/>
        <w:t>vestigator, all grades) observed in &gt;5% of subjects receiving 8, 12, or 24 weeks treat</w:t>
      </w:r>
      <w:r>
        <w:softHyphen/>
        <w:t xml:space="preserve">ment </w:t>
      </w:r>
      <w:r>
        <w:lastRenderedPageBreak/>
        <w:t xml:space="preserve">with </w:t>
      </w:r>
      <w:proofErr w:type="spellStart"/>
      <w:r>
        <w:t>Ledipasvlr</w:t>
      </w:r>
      <w:proofErr w:type="spellEnd"/>
      <w:r>
        <w:t xml:space="preserve"> + </w:t>
      </w:r>
      <w:proofErr w:type="spellStart"/>
      <w:r>
        <w:t>Sofosbuvir</w:t>
      </w:r>
      <w:proofErr w:type="spellEnd"/>
      <w:r>
        <w:t xml:space="preserve"> in clinical trials. The majority of adverse reactions presented in Table 2 occurred at severity of grade 1. The side-by-side tabulation is to simplify presentation; direct comparison across trials should not be made due to differ</w:t>
      </w:r>
      <w:r>
        <w:softHyphen/>
        <w:t>ing trial designs.</w:t>
      </w:r>
    </w:p>
    <w:p w:rsidR="00E12BB4" w:rsidRDefault="003A60A2">
      <w:pPr>
        <w:pStyle w:val="a9"/>
        <w:framePr w:w="4666" w:wrap="notBeside" w:vAnchor="text" w:hAnchor="text" w:xAlign="center" w:y="1"/>
        <w:shd w:val="clear" w:color="auto" w:fill="auto"/>
        <w:spacing w:line="149" w:lineRule="exact"/>
      </w:pPr>
      <w:r>
        <w:t>Table 2 Adverse Reactions (All Grades) Reported in &gt;5% of Subjects Receiving 8, 12, or 24 Weeks of Treatment with HEPCINAT-LP</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71"/>
        <w:gridCol w:w="1162"/>
        <w:gridCol w:w="1157"/>
        <w:gridCol w:w="1176"/>
      </w:tblGrid>
      <w:tr w:rsidR="00E12BB4">
        <w:trPr>
          <w:trHeight w:hRule="exact" w:val="403"/>
          <w:jc w:val="center"/>
        </w:trPr>
        <w:tc>
          <w:tcPr>
            <w:tcW w:w="1171" w:type="dxa"/>
            <w:vMerge w:val="restart"/>
            <w:tcBorders>
              <w:top w:val="single" w:sz="4" w:space="0" w:color="auto"/>
              <w:left w:val="single" w:sz="4" w:space="0" w:color="auto"/>
            </w:tcBorders>
            <w:shd w:val="clear" w:color="auto" w:fill="FFFFFF"/>
          </w:tcPr>
          <w:p w:rsidR="00E12BB4" w:rsidRDefault="00E12BB4">
            <w:pPr>
              <w:framePr w:w="4666" w:wrap="notBeside" w:vAnchor="text" w:hAnchor="text" w:xAlign="center" w:y="1"/>
              <w:rPr>
                <w:sz w:val="10"/>
                <w:szCs w:val="10"/>
              </w:rPr>
            </w:pPr>
          </w:p>
        </w:tc>
        <w:tc>
          <w:tcPr>
            <w:tcW w:w="1162"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39" w:lineRule="exact"/>
              <w:ind w:firstLine="0"/>
              <w:jc w:val="center"/>
            </w:pPr>
            <w:r>
              <w:rPr>
                <w:rStyle w:val="a7"/>
              </w:rPr>
              <w:t>HEPCINAT-LP 8 weeks</w:t>
            </w:r>
          </w:p>
        </w:tc>
        <w:tc>
          <w:tcPr>
            <w:tcW w:w="1157"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39" w:lineRule="exact"/>
              <w:ind w:firstLine="0"/>
              <w:jc w:val="center"/>
            </w:pPr>
            <w:r>
              <w:rPr>
                <w:rStyle w:val="a7"/>
              </w:rPr>
              <w:t>HEPCINAT-LP 12 weeks</w:t>
            </w:r>
          </w:p>
        </w:tc>
        <w:tc>
          <w:tcPr>
            <w:tcW w:w="1176" w:type="dxa"/>
            <w:tcBorders>
              <w:top w:val="single" w:sz="4" w:space="0" w:color="auto"/>
              <w:left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44" w:lineRule="exact"/>
              <w:ind w:firstLine="0"/>
              <w:jc w:val="center"/>
            </w:pPr>
            <w:r>
              <w:rPr>
                <w:rStyle w:val="a7"/>
              </w:rPr>
              <w:t>HEPCINAT-LP 24 weeks</w:t>
            </w:r>
          </w:p>
        </w:tc>
      </w:tr>
      <w:tr w:rsidR="00E12BB4">
        <w:trPr>
          <w:trHeight w:hRule="exact" w:val="298"/>
          <w:jc w:val="center"/>
        </w:trPr>
        <w:tc>
          <w:tcPr>
            <w:tcW w:w="1171" w:type="dxa"/>
            <w:vMerge/>
            <w:tcBorders>
              <w:left w:val="single" w:sz="4" w:space="0" w:color="auto"/>
            </w:tcBorders>
            <w:shd w:val="clear" w:color="auto" w:fill="FFFFFF"/>
          </w:tcPr>
          <w:p w:rsidR="00E12BB4" w:rsidRDefault="00E12BB4">
            <w:pPr>
              <w:framePr w:w="4666" w:wrap="notBeside" w:vAnchor="text" w:hAnchor="text" w:xAlign="center" w:y="1"/>
            </w:pPr>
          </w:p>
        </w:tc>
        <w:tc>
          <w:tcPr>
            <w:tcW w:w="1162"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N=215</w:t>
            </w:r>
          </w:p>
        </w:tc>
        <w:tc>
          <w:tcPr>
            <w:tcW w:w="1157"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N=539</w:t>
            </w:r>
          </w:p>
        </w:tc>
        <w:tc>
          <w:tcPr>
            <w:tcW w:w="1176" w:type="dxa"/>
            <w:tcBorders>
              <w:top w:val="single" w:sz="4" w:space="0" w:color="auto"/>
              <w:left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N=326</w:t>
            </w:r>
          </w:p>
        </w:tc>
      </w:tr>
      <w:tr w:rsidR="00E12BB4">
        <w:trPr>
          <w:trHeight w:hRule="exact" w:val="274"/>
          <w:jc w:val="center"/>
        </w:trPr>
        <w:tc>
          <w:tcPr>
            <w:tcW w:w="1171"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12"/>
              </w:rPr>
              <w:t>Fatigue</w:t>
            </w:r>
          </w:p>
        </w:tc>
        <w:tc>
          <w:tcPr>
            <w:tcW w:w="1162"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16%</w:t>
            </w:r>
          </w:p>
        </w:tc>
        <w:tc>
          <w:tcPr>
            <w:tcW w:w="1157"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13%</w:t>
            </w:r>
          </w:p>
        </w:tc>
        <w:tc>
          <w:tcPr>
            <w:tcW w:w="1176" w:type="dxa"/>
            <w:tcBorders>
              <w:top w:val="single" w:sz="4" w:space="0" w:color="auto"/>
              <w:left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18%</w:t>
            </w:r>
          </w:p>
        </w:tc>
      </w:tr>
      <w:tr w:rsidR="00E12BB4">
        <w:trPr>
          <w:trHeight w:hRule="exact" w:val="274"/>
          <w:jc w:val="center"/>
        </w:trPr>
        <w:tc>
          <w:tcPr>
            <w:tcW w:w="1171"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12"/>
              </w:rPr>
              <w:t>Headache</w:t>
            </w:r>
          </w:p>
        </w:tc>
        <w:tc>
          <w:tcPr>
            <w:tcW w:w="1162"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11%</w:t>
            </w:r>
          </w:p>
        </w:tc>
        <w:tc>
          <w:tcPr>
            <w:tcW w:w="1157"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14%</w:t>
            </w:r>
          </w:p>
        </w:tc>
        <w:tc>
          <w:tcPr>
            <w:tcW w:w="1176" w:type="dxa"/>
            <w:tcBorders>
              <w:top w:val="single" w:sz="4" w:space="0" w:color="auto"/>
              <w:left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17%</w:t>
            </w:r>
          </w:p>
        </w:tc>
      </w:tr>
      <w:tr w:rsidR="00E12BB4">
        <w:trPr>
          <w:trHeight w:hRule="exact" w:val="274"/>
          <w:jc w:val="center"/>
        </w:trPr>
        <w:tc>
          <w:tcPr>
            <w:tcW w:w="1171"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12"/>
              </w:rPr>
              <w:t>Nausea</w:t>
            </w:r>
          </w:p>
        </w:tc>
        <w:tc>
          <w:tcPr>
            <w:tcW w:w="1162"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6%</w:t>
            </w:r>
          </w:p>
        </w:tc>
        <w:tc>
          <w:tcPr>
            <w:tcW w:w="1157"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7%</w:t>
            </w:r>
          </w:p>
        </w:tc>
        <w:tc>
          <w:tcPr>
            <w:tcW w:w="1176" w:type="dxa"/>
            <w:tcBorders>
              <w:top w:val="single" w:sz="4" w:space="0" w:color="auto"/>
              <w:left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9%</w:t>
            </w:r>
          </w:p>
        </w:tc>
      </w:tr>
      <w:tr w:rsidR="00E12BB4">
        <w:trPr>
          <w:trHeight w:hRule="exact" w:val="278"/>
          <w:jc w:val="center"/>
        </w:trPr>
        <w:tc>
          <w:tcPr>
            <w:tcW w:w="1171"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12"/>
              </w:rPr>
              <w:t>Diarrhea</w:t>
            </w:r>
          </w:p>
        </w:tc>
        <w:tc>
          <w:tcPr>
            <w:tcW w:w="1162"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4%</w:t>
            </w:r>
          </w:p>
        </w:tc>
        <w:tc>
          <w:tcPr>
            <w:tcW w:w="1157" w:type="dxa"/>
            <w:tcBorders>
              <w:top w:val="single" w:sz="4" w:space="0" w:color="auto"/>
              <w:lef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3%</w:t>
            </w:r>
          </w:p>
        </w:tc>
        <w:tc>
          <w:tcPr>
            <w:tcW w:w="1176" w:type="dxa"/>
            <w:tcBorders>
              <w:top w:val="single" w:sz="4" w:space="0" w:color="auto"/>
              <w:left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7%</w:t>
            </w:r>
          </w:p>
        </w:tc>
      </w:tr>
      <w:tr w:rsidR="00E12BB4">
        <w:trPr>
          <w:trHeight w:hRule="exact" w:val="293"/>
          <w:jc w:val="center"/>
        </w:trPr>
        <w:tc>
          <w:tcPr>
            <w:tcW w:w="1171" w:type="dxa"/>
            <w:tcBorders>
              <w:top w:val="single" w:sz="4" w:space="0" w:color="auto"/>
              <w:left w:val="single" w:sz="4" w:space="0" w:color="auto"/>
              <w:bottom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left="80" w:firstLine="0"/>
            </w:pPr>
            <w:r>
              <w:rPr>
                <w:rStyle w:val="12"/>
              </w:rPr>
              <w:t>Insomnia</w:t>
            </w:r>
          </w:p>
        </w:tc>
        <w:tc>
          <w:tcPr>
            <w:tcW w:w="1162" w:type="dxa"/>
            <w:tcBorders>
              <w:top w:val="single" w:sz="4" w:space="0" w:color="auto"/>
              <w:left w:val="single" w:sz="4" w:space="0" w:color="auto"/>
              <w:bottom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3%</w:t>
            </w:r>
          </w:p>
        </w:tc>
        <w:tc>
          <w:tcPr>
            <w:tcW w:w="1157" w:type="dxa"/>
            <w:tcBorders>
              <w:top w:val="single" w:sz="4" w:space="0" w:color="auto"/>
              <w:left w:val="single" w:sz="4" w:space="0" w:color="auto"/>
              <w:bottom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aa"/>
              </w:rPr>
              <w:t>5%</w:t>
            </w:r>
          </w:p>
        </w:tc>
        <w:tc>
          <w:tcPr>
            <w:tcW w:w="1176" w:type="dxa"/>
            <w:tcBorders>
              <w:top w:val="single" w:sz="4" w:space="0" w:color="auto"/>
              <w:left w:val="single" w:sz="4" w:space="0" w:color="auto"/>
              <w:bottom w:val="single" w:sz="4" w:space="0" w:color="auto"/>
              <w:right w:val="single" w:sz="4" w:space="0" w:color="auto"/>
            </w:tcBorders>
            <w:shd w:val="clear" w:color="auto" w:fill="FFFFFF"/>
            <w:vAlign w:val="center"/>
          </w:tcPr>
          <w:p w:rsidR="00E12BB4" w:rsidRDefault="003A60A2">
            <w:pPr>
              <w:pStyle w:val="2"/>
              <w:framePr w:w="4666" w:wrap="notBeside" w:vAnchor="text" w:hAnchor="text" w:xAlign="center" w:y="1"/>
              <w:shd w:val="clear" w:color="auto" w:fill="auto"/>
              <w:spacing w:after="0" w:line="110" w:lineRule="exact"/>
              <w:ind w:firstLine="0"/>
              <w:jc w:val="center"/>
            </w:pPr>
            <w:r>
              <w:rPr>
                <w:rStyle w:val="12"/>
              </w:rPr>
              <w:t>6%</w:t>
            </w:r>
          </w:p>
        </w:tc>
      </w:tr>
    </w:tbl>
    <w:p w:rsidR="00E12BB4" w:rsidRDefault="00E12BB4">
      <w:pPr>
        <w:rPr>
          <w:sz w:val="2"/>
          <w:szCs w:val="2"/>
        </w:rPr>
      </w:pPr>
    </w:p>
    <w:p w:rsidR="00E12BB4" w:rsidRDefault="003A60A2">
      <w:pPr>
        <w:pStyle w:val="23"/>
        <w:shd w:val="clear" w:color="auto" w:fill="auto"/>
        <w:spacing w:before="0" w:line="139" w:lineRule="exact"/>
        <w:ind w:left="140" w:right="3280"/>
        <w:jc w:val="left"/>
      </w:pPr>
      <w:r>
        <w:t>Laboratory Abnormalities Bilirubin Elevations:</w:t>
      </w:r>
    </w:p>
    <w:p w:rsidR="00E12BB4" w:rsidRDefault="003A60A2">
      <w:pPr>
        <w:pStyle w:val="2"/>
        <w:shd w:val="clear" w:color="auto" w:fill="auto"/>
        <w:spacing w:after="0" w:line="139" w:lineRule="exact"/>
        <w:ind w:left="140" w:right="80" w:firstLine="0"/>
        <w:jc w:val="both"/>
      </w:pPr>
      <w:r>
        <w:t xml:space="preserve">Bilirubin elevations of greater than 1.5xULN were observed in 3%, &lt;1%, and 2% of subjects treated with </w:t>
      </w:r>
      <w:proofErr w:type="spellStart"/>
      <w:r>
        <w:t>Ledipasvir</w:t>
      </w:r>
      <w:proofErr w:type="spellEnd"/>
      <w:r>
        <w:t xml:space="preserve"> + </w:t>
      </w:r>
      <w:proofErr w:type="spellStart"/>
      <w:r>
        <w:t>Sofosbuvir</w:t>
      </w:r>
      <w:proofErr w:type="spellEnd"/>
      <w:r>
        <w:t xml:space="preserve"> for 8</w:t>
      </w:r>
      <w:proofErr w:type="gramStart"/>
      <w:r>
        <w:t>,12</w:t>
      </w:r>
      <w:proofErr w:type="gramEnd"/>
      <w:r>
        <w:t>, and 24 weeks.</w:t>
      </w:r>
    </w:p>
    <w:p w:rsidR="00E12BB4" w:rsidRDefault="003A60A2">
      <w:pPr>
        <w:pStyle w:val="50"/>
        <w:shd w:val="clear" w:color="auto" w:fill="auto"/>
        <w:spacing w:line="90" w:lineRule="exact"/>
        <w:ind w:left="140"/>
      </w:pPr>
      <w:r>
        <w:t>Lipase Elevations:</w:t>
      </w:r>
    </w:p>
    <w:p w:rsidR="00E12BB4" w:rsidRDefault="003A60A2">
      <w:pPr>
        <w:pStyle w:val="2"/>
        <w:shd w:val="clear" w:color="auto" w:fill="auto"/>
        <w:spacing w:after="0" w:line="173" w:lineRule="exact"/>
        <w:ind w:left="140" w:right="80" w:firstLine="0"/>
      </w:pPr>
      <w:r>
        <w:t xml:space="preserve">Transient, asymptomatic lipase elevations of greater than 3xULN were observed in &lt;1 </w:t>
      </w:r>
      <w:r>
        <w:rPr>
          <w:rStyle w:val="a5"/>
        </w:rPr>
        <w:t xml:space="preserve">%, </w:t>
      </w:r>
      <w:r>
        <w:t xml:space="preserve">2%, and </w:t>
      </w:r>
      <w:r>
        <w:rPr>
          <w:rStyle w:val="a5"/>
        </w:rPr>
        <w:t>3%</w:t>
      </w:r>
      <w:r>
        <w:t xml:space="preserve"> of subjects treated with </w:t>
      </w:r>
      <w:proofErr w:type="spellStart"/>
      <w:r>
        <w:t>Ledipasvir</w:t>
      </w:r>
      <w:proofErr w:type="spellEnd"/>
      <w:r>
        <w:t xml:space="preserve"> + </w:t>
      </w:r>
      <w:proofErr w:type="spellStart"/>
      <w:r>
        <w:t>Sofosbuvir</w:t>
      </w:r>
      <w:proofErr w:type="spellEnd"/>
      <w:r>
        <w:t xml:space="preserve"> for 8</w:t>
      </w:r>
      <w:proofErr w:type="gramStart"/>
      <w:r>
        <w:t>,12</w:t>
      </w:r>
      <w:proofErr w:type="gramEnd"/>
      <w:r>
        <w:t xml:space="preserve">, and 24 weeks. </w:t>
      </w:r>
      <w:proofErr w:type="spellStart"/>
      <w:r>
        <w:rPr>
          <w:rStyle w:val="a6"/>
        </w:rPr>
        <w:t>Creatine</w:t>
      </w:r>
      <w:proofErr w:type="spellEnd"/>
      <w:r>
        <w:rPr>
          <w:rStyle w:val="a6"/>
        </w:rPr>
        <w:t xml:space="preserve"> Kinase:</w:t>
      </w:r>
    </w:p>
    <w:p w:rsidR="00E12BB4" w:rsidRDefault="003A60A2">
      <w:pPr>
        <w:pStyle w:val="2"/>
        <w:shd w:val="clear" w:color="auto" w:fill="auto"/>
        <w:spacing w:after="0" w:line="144" w:lineRule="exact"/>
        <w:ind w:left="140" w:right="80" w:firstLine="0"/>
        <w:jc w:val="both"/>
      </w:pPr>
      <w:proofErr w:type="spellStart"/>
      <w:r>
        <w:t>Creatine</w:t>
      </w:r>
      <w:proofErr w:type="spellEnd"/>
      <w:r>
        <w:t xml:space="preserve"> kinase was not assessed in Phase 3 trials of </w:t>
      </w:r>
      <w:proofErr w:type="spellStart"/>
      <w:r>
        <w:t>Ledipasvir</w:t>
      </w:r>
      <w:proofErr w:type="spellEnd"/>
      <w:r>
        <w:t xml:space="preserve"> + </w:t>
      </w:r>
      <w:proofErr w:type="spellStart"/>
      <w:r>
        <w:t>Sofosbuvir</w:t>
      </w:r>
      <w:proofErr w:type="spellEnd"/>
      <w:r>
        <w:t xml:space="preserve">. Isolated, asymptomatic </w:t>
      </w:r>
      <w:proofErr w:type="spellStart"/>
      <w:r>
        <w:t>creatine</w:t>
      </w:r>
      <w:proofErr w:type="spellEnd"/>
      <w:r>
        <w:t xml:space="preserve"> kinase elevations (Grade 3 or 4) have been previously reported in subjects treated with </w:t>
      </w:r>
      <w:proofErr w:type="spellStart"/>
      <w:r>
        <w:t>sofosbuvir</w:t>
      </w:r>
      <w:proofErr w:type="spellEnd"/>
      <w:r>
        <w:t xml:space="preserve"> in combination with ribavirin or </w:t>
      </w:r>
      <w:proofErr w:type="spellStart"/>
      <w:r>
        <w:t>peginterferon</w:t>
      </w:r>
      <w:proofErr w:type="spellEnd"/>
      <w:r>
        <w:t>/ribavirin in other clinical trials.</w:t>
      </w:r>
    </w:p>
    <w:p w:rsidR="00E12BB4" w:rsidRDefault="003A60A2">
      <w:pPr>
        <w:pStyle w:val="23"/>
        <w:shd w:val="clear" w:color="auto" w:fill="auto"/>
        <w:spacing w:before="0" w:line="144" w:lineRule="exact"/>
        <w:ind w:left="140"/>
      </w:pPr>
      <w:r>
        <w:t xml:space="preserve">9.2 </w:t>
      </w:r>
      <w:proofErr w:type="spellStart"/>
      <w:r>
        <w:t>Postmarketing</w:t>
      </w:r>
      <w:proofErr w:type="spellEnd"/>
      <w:r>
        <w:t xml:space="preserve"> Experience</w:t>
      </w:r>
    </w:p>
    <w:p w:rsidR="00E12BB4" w:rsidRDefault="003A60A2">
      <w:pPr>
        <w:pStyle w:val="2"/>
        <w:shd w:val="clear" w:color="auto" w:fill="auto"/>
        <w:spacing w:after="0" w:line="144" w:lineRule="exact"/>
        <w:ind w:left="140" w:right="80" w:firstLine="0"/>
        <w:jc w:val="both"/>
      </w:pPr>
      <w:r>
        <w:t xml:space="preserve">The following adverse reactions have been identified during post approval use of </w:t>
      </w:r>
      <w:proofErr w:type="spellStart"/>
      <w:r>
        <w:t>Ledi</w:t>
      </w:r>
      <w:r>
        <w:softHyphen/>
        <w:t>pasvir</w:t>
      </w:r>
      <w:proofErr w:type="spellEnd"/>
      <w:r>
        <w:t xml:space="preserve"> + </w:t>
      </w:r>
      <w:proofErr w:type="spellStart"/>
      <w:r>
        <w:t>Sofosbuvir</w:t>
      </w:r>
      <w:proofErr w:type="spellEnd"/>
      <w:r>
        <w:t xml:space="preserve">. Because </w:t>
      </w:r>
      <w:proofErr w:type="spellStart"/>
      <w:r>
        <w:t>postmarketing</w:t>
      </w:r>
      <w:proofErr w:type="spellEnd"/>
      <w:r>
        <w:t xml:space="preserve"> reactions are reported voluntarily from a population of uncertain size, it is not always possible to reliably estimate their frequency or establish a causal relationship to drug exposure.</w:t>
      </w:r>
    </w:p>
    <w:p w:rsidR="00E12BB4" w:rsidRDefault="003A60A2">
      <w:pPr>
        <w:pStyle w:val="2"/>
        <w:shd w:val="clear" w:color="auto" w:fill="auto"/>
        <w:spacing w:after="0" w:line="144" w:lineRule="exact"/>
        <w:ind w:left="140" w:right="80" w:firstLine="0"/>
        <w:jc w:val="both"/>
      </w:pPr>
      <w:r>
        <w:t xml:space="preserve">Cardiac Disorders Serious symptomatic </w:t>
      </w:r>
      <w:proofErr w:type="spellStart"/>
      <w:r>
        <w:t>bradycardia</w:t>
      </w:r>
      <w:proofErr w:type="spellEnd"/>
      <w:r>
        <w:t xml:space="preserve"> has been reported in patients tak</w:t>
      </w:r>
      <w:r>
        <w:softHyphen/>
        <w:t xml:space="preserve">ing </w:t>
      </w:r>
      <w:proofErr w:type="spellStart"/>
      <w:r>
        <w:t>amiodarone</w:t>
      </w:r>
      <w:proofErr w:type="spellEnd"/>
      <w:r>
        <w:t xml:space="preserve"> who initiate treatment with </w:t>
      </w:r>
      <w:proofErr w:type="spellStart"/>
      <w:r>
        <w:t>Ledipasvir</w:t>
      </w:r>
      <w:proofErr w:type="spellEnd"/>
      <w:r>
        <w:t xml:space="preserve"> + </w:t>
      </w:r>
      <w:proofErr w:type="spellStart"/>
      <w:r>
        <w:t>Sofosbuvir</w:t>
      </w:r>
      <w:proofErr w:type="spellEnd"/>
      <w:r>
        <w:t>.</w:t>
      </w:r>
    </w:p>
    <w:p w:rsidR="00E12BB4" w:rsidRDefault="003A60A2">
      <w:pPr>
        <w:pStyle w:val="23"/>
        <w:numPr>
          <w:ilvl w:val="0"/>
          <w:numId w:val="11"/>
        </w:numPr>
        <w:shd w:val="clear" w:color="auto" w:fill="auto"/>
        <w:spacing w:before="0" w:line="139" w:lineRule="exact"/>
        <w:ind w:left="140"/>
      </w:pPr>
      <w:r>
        <w:t xml:space="preserve"> DRUG INTERACTIONS</w:t>
      </w:r>
    </w:p>
    <w:p w:rsidR="00E12BB4" w:rsidRDefault="003A60A2">
      <w:pPr>
        <w:pStyle w:val="23"/>
        <w:numPr>
          <w:ilvl w:val="0"/>
          <w:numId w:val="11"/>
        </w:numPr>
        <w:shd w:val="clear" w:color="auto" w:fill="auto"/>
        <w:spacing w:before="0" w:line="139" w:lineRule="exact"/>
        <w:ind w:left="140"/>
      </w:pPr>
      <w:r>
        <w:t xml:space="preserve"> Potential for Drug Interaction</w:t>
      </w:r>
    </w:p>
    <w:p w:rsidR="00E12BB4" w:rsidRDefault="003A60A2">
      <w:pPr>
        <w:pStyle w:val="2"/>
        <w:shd w:val="clear" w:color="auto" w:fill="auto"/>
        <w:spacing w:after="0" w:line="139" w:lineRule="exact"/>
        <w:ind w:left="140" w:right="80" w:firstLine="0"/>
        <w:jc w:val="both"/>
      </w:pPr>
      <w:proofErr w:type="gramStart"/>
      <w:r>
        <w:t xml:space="preserve">As HEPCINAT-LP contains </w:t>
      </w:r>
      <w:proofErr w:type="spellStart"/>
      <w:r>
        <w:t>ledipasvir</w:t>
      </w:r>
      <w:proofErr w:type="spellEnd"/>
      <w:r>
        <w:t xml:space="preserve"> and </w:t>
      </w:r>
      <w:proofErr w:type="spellStart"/>
      <w:r>
        <w:t>sofosbuvir</w:t>
      </w:r>
      <w:proofErr w:type="spellEnd"/>
      <w:r>
        <w:t>.</w:t>
      </w:r>
      <w:proofErr w:type="gramEnd"/>
      <w:r>
        <w:t xml:space="preserve"> </w:t>
      </w:r>
      <w:proofErr w:type="gramStart"/>
      <w:r>
        <w:t>any</w:t>
      </w:r>
      <w:proofErr w:type="gramEnd"/>
      <w:r>
        <w:t xml:space="preserve"> interactions that have been identified with these agents individually may occur with HEPCINAT-LP.</w:t>
      </w:r>
    </w:p>
    <w:p w:rsidR="00E12BB4" w:rsidRDefault="003A60A2">
      <w:pPr>
        <w:pStyle w:val="2"/>
        <w:shd w:val="clear" w:color="auto" w:fill="auto"/>
        <w:spacing w:after="0" w:line="144" w:lineRule="exact"/>
        <w:ind w:left="140" w:right="80" w:firstLine="0"/>
      </w:pPr>
      <w:r>
        <w:t xml:space="preserve">After oral administration, </w:t>
      </w:r>
      <w:proofErr w:type="spellStart"/>
      <w:r>
        <w:t>sofosbuvir</w:t>
      </w:r>
      <w:proofErr w:type="spellEnd"/>
      <w:r>
        <w:t xml:space="preserve"> is rapidly absorbed and subject to extensive first- pass hepatic extraction. In clinical pharmacology studies, both </w:t>
      </w:r>
      <w:proofErr w:type="spellStart"/>
      <w:r>
        <w:t>sofosbuvir</w:t>
      </w:r>
      <w:proofErr w:type="spellEnd"/>
      <w:r>
        <w:t xml:space="preserve"> and the inac</w:t>
      </w:r>
      <w:r>
        <w:softHyphen/>
        <w:t xml:space="preserve">tive metabolite GS-331007 were monitored for purposes of </w:t>
      </w:r>
      <w:proofErr w:type="spellStart"/>
      <w:r>
        <w:t>pharmacokjnet</w:t>
      </w:r>
      <w:proofErr w:type="spellEnd"/>
      <w:r>
        <w:t xml:space="preserve">&gt;c analyses. </w:t>
      </w:r>
      <w:proofErr w:type="spellStart"/>
      <w:r>
        <w:t>Ledipasvir</w:t>
      </w:r>
      <w:proofErr w:type="spellEnd"/>
      <w:r>
        <w:t xml:space="preserve"> is an inhibitor of the drug transporters P-</w:t>
      </w:r>
      <w:proofErr w:type="spellStart"/>
      <w:r>
        <w:t>gp</w:t>
      </w:r>
      <w:proofErr w:type="spellEnd"/>
      <w:r>
        <w:t xml:space="preserve"> and breast cancer resistance protein (BCRP) and may increase intestinal absorption of </w:t>
      </w:r>
      <w:proofErr w:type="spellStart"/>
      <w:r>
        <w:t>coadministered</w:t>
      </w:r>
      <w:proofErr w:type="spellEnd"/>
      <w:r>
        <w:t xml:space="preserve"> s-estates for these transporters.</w:t>
      </w:r>
    </w:p>
    <w:p w:rsidR="00E12BB4" w:rsidRDefault="003A60A2">
      <w:pPr>
        <w:pStyle w:val="2"/>
        <w:shd w:val="clear" w:color="auto" w:fill="auto"/>
        <w:spacing w:after="0" w:line="139" w:lineRule="exact"/>
        <w:ind w:left="140" w:right="80" w:firstLine="0"/>
        <w:jc w:val="both"/>
      </w:pPr>
      <w:proofErr w:type="spellStart"/>
      <w:r>
        <w:t>Ledipasvir</w:t>
      </w:r>
      <w:proofErr w:type="spellEnd"/>
      <w:r>
        <w:t xml:space="preserve"> and </w:t>
      </w:r>
      <w:proofErr w:type="spellStart"/>
      <w:r>
        <w:t>sofosbuvir</w:t>
      </w:r>
      <w:proofErr w:type="spellEnd"/>
      <w:r>
        <w:t xml:space="preserve"> are substrates of drug transporters P-</w:t>
      </w:r>
      <w:proofErr w:type="spellStart"/>
      <w:r>
        <w:t>gp</w:t>
      </w:r>
      <w:proofErr w:type="spellEnd"/>
      <w:r>
        <w:t xml:space="preserve"> </w:t>
      </w:r>
      <w:proofErr w:type="spellStart"/>
      <w:r>
        <w:t>a</w:t>
      </w:r>
      <w:r>
        <w:rPr>
          <w:rStyle w:val="a5"/>
        </w:rPr>
        <w:t>r</w:t>
      </w:r>
      <w:proofErr w:type="spellEnd"/>
      <w:r>
        <w:rPr>
          <w:rStyle w:val="a5"/>
        </w:rPr>
        <w:t>&lt;S</w:t>
      </w:r>
      <w:r>
        <w:t xml:space="preserve"> BCRP while GS-331007 is not. P-</w:t>
      </w:r>
      <w:proofErr w:type="spellStart"/>
      <w:r>
        <w:t>gp</w:t>
      </w:r>
      <w:proofErr w:type="spellEnd"/>
      <w:r>
        <w:t xml:space="preserve"> inducers (e.g., rifampin or St. John's </w:t>
      </w:r>
      <w:proofErr w:type="spellStart"/>
      <w:r>
        <w:t>wort</w:t>
      </w:r>
      <w:proofErr w:type="spellEnd"/>
      <w:r>
        <w:t xml:space="preserve">) may decrease </w:t>
      </w:r>
      <w:proofErr w:type="spellStart"/>
      <w:r>
        <w:t>ledi</w:t>
      </w:r>
      <w:r>
        <w:softHyphen/>
        <w:t>pasvir</w:t>
      </w:r>
      <w:proofErr w:type="spellEnd"/>
      <w:r>
        <w:t xml:space="preserve"> and </w:t>
      </w:r>
      <w:proofErr w:type="spellStart"/>
      <w:r>
        <w:t>sofosbuvir</w:t>
      </w:r>
      <w:proofErr w:type="spellEnd"/>
      <w:r>
        <w:t xml:space="preserve"> plasma concentrations, leading to reduced </w:t>
      </w:r>
      <w:proofErr w:type="spellStart"/>
      <w:r>
        <w:t>thenar</w:t>
      </w:r>
      <w:proofErr w:type="spellEnd"/>
      <w:r>
        <w:t xml:space="preserve"> </w:t>
      </w:r>
      <w:r>
        <w:rPr>
          <w:rStyle w:val="1pt"/>
        </w:rPr>
        <w:t>e_</w:t>
      </w:r>
      <w:proofErr w:type="gramStart"/>
      <w:r>
        <w:rPr>
          <w:rStyle w:val="1pt"/>
        </w:rPr>
        <w:t>::</w:t>
      </w:r>
      <w:proofErr w:type="gramEnd"/>
      <w:r>
        <w:t xml:space="preserve"> effect of HEPCINAT-LP, and the use with P-</w:t>
      </w:r>
      <w:proofErr w:type="spellStart"/>
      <w:r>
        <w:t>gp</w:t>
      </w:r>
      <w:proofErr w:type="spellEnd"/>
      <w:r>
        <w:t xml:space="preserve"> inducers is not recommended with HEPC NAT-LP.</w:t>
      </w:r>
    </w:p>
    <w:p w:rsidR="00E12BB4" w:rsidRDefault="003A60A2">
      <w:pPr>
        <w:pStyle w:val="23"/>
        <w:numPr>
          <w:ilvl w:val="0"/>
          <w:numId w:val="11"/>
        </w:numPr>
        <w:shd w:val="clear" w:color="auto" w:fill="auto"/>
        <w:spacing w:before="0"/>
        <w:ind w:left="140"/>
      </w:pPr>
      <w:r>
        <w:t xml:space="preserve"> Established and Potentially Significant Drug Interactions</w:t>
      </w:r>
    </w:p>
    <w:p w:rsidR="00E12BB4" w:rsidRDefault="003A60A2">
      <w:pPr>
        <w:pStyle w:val="2"/>
        <w:shd w:val="clear" w:color="auto" w:fill="auto"/>
        <w:spacing w:after="0" w:line="149" w:lineRule="exact"/>
        <w:ind w:left="140" w:right="80" w:firstLine="0"/>
        <w:jc w:val="both"/>
      </w:pPr>
      <w:r>
        <w:t>Table 3 provides a listing of established or potentially clinically significant drug inter</w:t>
      </w:r>
      <w:r>
        <w:softHyphen/>
        <w:t>actions.</w:t>
      </w:r>
    </w:p>
    <w:p w:rsidR="00E12BB4" w:rsidRDefault="003A60A2">
      <w:pPr>
        <w:pStyle w:val="23"/>
        <w:shd w:val="clear" w:color="auto" w:fill="auto"/>
        <w:spacing w:before="0"/>
        <w:ind w:left="140" w:right="80"/>
      </w:pPr>
      <w:r>
        <w:t xml:space="preserve">Table </w:t>
      </w:r>
      <w:r>
        <w:rPr>
          <w:rStyle w:val="24"/>
        </w:rPr>
        <w:t xml:space="preserve">3 </w:t>
      </w:r>
      <w:r>
        <w:t>Potentially Significant Drug Interactions: Alteration in Dose or Regimen May Be Recommended Based on Drug Interaction Studies or Predicted Interaction</w:t>
      </w:r>
      <w:r>
        <w:rPr>
          <w:vertAlign w:val="superscript"/>
        </w:rPr>
        <w:t>0</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4"/>
        <w:gridCol w:w="1546"/>
        <w:gridCol w:w="994"/>
        <w:gridCol w:w="2102"/>
        <w:gridCol w:w="82"/>
      </w:tblGrid>
      <w:tr w:rsidR="00E12BB4">
        <w:trPr>
          <w:trHeight w:hRule="exact" w:val="130"/>
          <w:jc w:val="center"/>
        </w:trPr>
        <w:tc>
          <w:tcPr>
            <w:tcW w:w="144" w:type="dxa"/>
            <w:shd w:val="clear" w:color="auto" w:fill="FFFFFF"/>
          </w:tcPr>
          <w:p w:rsidR="00E12BB4" w:rsidRDefault="00E12BB4">
            <w:pPr>
              <w:framePr w:w="4867" w:wrap="notBeside" w:vAnchor="text" w:hAnchor="text" w:xAlign="center" w:y="1"/>
              <w:rPr>
                <w:sz w:val="10"/>
                <w:szCs w:val="10"/>
              </w:rPr>
            </w:pPr>
          </w:p>
        </w:tc>
        <w:tc>
          <w:tcPr>
            <w:tcW w:w="1546" w:type="dxa"/>
            <w:tcBorders>
              <w:top w:val="single" w:sz="4" w:space="0" w:color="auto"/>
              <w:left w:val="single" w:sz="4" w:space="0" w:color="auto"/>
            </w:tcBorders>
            <w:shd w:val="clear" w:color="auto" w:fill="FFFFFF"/>
          </w:tcPr>
          <w:p w:rsidR="00E12BB4" w:rsidRDefault="00E12BB4">
            <w:pPr>
              <w:framePr w:w="4867" w:wrap="notBeside" w:vAnchor="text" w:hAnchor="text" w:xAlign="center" w:y="1"/>
              <w:rPr>
                <w:sz w:val="10"/>
                <w:szCs w:val="10"/>
              </w:rPr>
            </w:pPr>
          </w:p>
        </w:tc>
        <w:tc>
          <w:tcPr>
            <w:tcW w:w="994" w:type="dxa"/>
            <w:tcBorders>
              <w:top w:val="single" w:sz="4" w:space="0" w:color="auto"/>
              <w:left w:val="single" w:sz="4" w:space="0" w:color="auto"/>
            </w:tcBorders>
            <w:shd w:val="clear" w:color="auto" w:fill="FFFFFF"/>
          </w:tcPr>
          <w:p w:rsidR="00E12BB4" w:rsidRDefault="00E12BB4">
            <w:pPr>
              <w:framePr w:w="4867" w:wrap="notBeside" w:vAnchor="text" w:hAnchor="text" w:xAlign="center" w:y="1"/>
              <w:rPr>
                <w:sz w:val="10"/>
                <w:szCs w:val="10"/>
              </w:rPr>
            </w:pPr>
          </w:p>
        </w:tc>
        <w:tc>
          <w:tcPr>
            <w:tcW w:w="2184" w:type="dxa"/>
            <w:gridSpan w:val="2"/>
            <w:tcBorders>
              <w:top w:val="single" w:sz="4" w:space="0" w:color="auto"/>
              <w:left w:val="single" w:sz="4" w:space="0" w:color="auto"/>
            </w:tcBorders>
            <w:shd w:val="clear" w:color="auto" w:fill="FFFFFF"/>
          </w:tcPr>
          <w:p w:rsidR="00E12BB4" w:rsidRDefault="00E12BB4">
            <w:pPr>
              <w:framePr w:w="4867" w:wrap="notBeside" w:vAnchor="text" w:hAnchor="text" w:xAlign="center" w:y="1"/>
              <w:rPr>
                <w:sz w:val="10"/>
                <w:szCs w:val="10"/>
              </w:rPr>
            </w:pPr>
          </w:p>
        </w:tc>
      </w:tr>
      <w:tr w:rsidR="00E12BB4">
        <w:trPr>
          <w:trHeight w:hRule="exact" w:val="269"/>
          <w:jc w:val="center"/>
        </w:trPr>
        <w:tc>
          <w:tcPr>
            <w:tcW w:w="144" w:type="dxa"/>
            <w:vMerge w:val="restart"/>
            <w:shd w:val="clear" w:color="auto" w:fill="FFFFFF"/>
          </w:tcPr>
          <w:p w:rsidR="00E12BB4" w:rsidRDefault="00E12BB4">
            <w:pPr>
              <w:framePr w:w="4867" w:wrap="notBeside" w:vAnchor="text" w:hAnchor="text" w:xAlign="center" w:y="1"/>
              <w:rPr>
                <w:sz w:val="10"/>
                <w:szCs w:val="10"/>
              </w:rPr>
            </w:pPr>
          </w:p>
        </w:tc>
        <w:tc>
          <w:tcPr>
            <w:tcW w:w="1546" w:type="dxa"/>
            <w:tcBorders>
              <w:left w:val="single" w:sz="4" w:space="0" w:color="auto"/>
            </w:tcBorders>
            <w:shd w:val="clear" w:color="auto" w:fill="FFFFFF"/>
            <w:vAlign w:val="bottom"/>
          </w:tcPr>
          <w:p w:rsidR="00E12BB4" w:rsidRDefault="003A60A2">
            <w:pPr>
              <w:pStyle w:val="2"/>
              <w:framePr w:w="4867" w:wrap="notBeside" w:vAnchor="text" w:hAnchor="text" w:xAlign="center" w:y="1"/>
              <w:shd w:val="clear" w:color="auto" w:fill="auto"/>
              <w:spacing w:after="0" w:line="110" w:lineRule="exact"/>
              <w:ind w:firstLine="0"/>
              <w:jc w:val="center"/>
            </w:pPr>
            <w:r>
              <w:rPr>
                <w:rStyle w:val="a7"/>
              </w:rPr>
              <w:t>Class: Drug Name</w:t>
            </w:r>
          </w:p>
        </w:tc>
        <w:tc>
          <w:tcPr>
            <w:tcW w:w="994" w:type="dxa"/>
            <w:tcBorders>
              <w:left w:val="single" w:sz="4" w:space="0" w:color="auto"/>
            </w:tcBorders>
            <w:shd w:val="clear" w:color="auto" w:fill="FFFFFF"/>
            <w:vAlign w:val="bottom"/>
          </w:tcPr>
          <w:p w:rsidR="00E12BB4" w:rsidRDefault="003A60A2">
            <w:pPr>
              <w:pStyle w:val="2"/>
              <w:framePr w:w="4867" w:wrap="notBeside" w:vAnchor="text" w:hAnchor="text" w:xAlign="center" w:y="1"/>
              <w:shd w:val="clear" w:color="auto" w:fill="auto"/>
              <w:spacing w:after="0" w:line="110" w:lineRule="exact"/>
              <w:ind w:firstLine="0"/>
              <w:jc w:val="center"/>
            </w:pPr>
            <w:proofErr w:type="spellStart"/>
            <w:r>
              <w:rPr>
                <w:rStyle w:val="a7"/>
              </w:rPr>
              <w:t>centration</w:t>
            </w:r>
            <w:r>
              <w:rPr>
                <w:rStyle w:val="a7"/>
                <w:vertAlign w:val="superscript"/>
              </w:rPr>
              <w:t>b</w:t>
            </w:r>
            <w:proofErr w:type="spellEnd"/>
          </w:p>
        </w:tc>
        <w:tc>
          <w:tcPr>
            <w:tcW w:w="2102" w:type="dxa"/>
            <w:tcBorders>
              <w:left w:val="single" w:sz="4" w:space="0" w:color="auto"/>
            </w:tcBorders>
            <w:shd w:val="clear" w:color="auto" w:fill="FFFFFF"/>
          </w:tcPr>
          <w:p w:rsidR="00E12BB4" w:rsidRDefault="00E12BB4">
            <w:pPr>
              <w:framePr w:w="4867" w:wrap="notBeside" w:vAnchor="text" w:hAnchor="text" w:xAlign="center" w:y="1"/>
              <w:rPr>
                <w:sz w:val="10"/>
                <w:szCs w:val="10"/>
              </w:rPr>
            </w:pPr>
          </w:p>
        </w:tc>
        <w:tc>
          <w:tcPr>
            <w:tcW w:w="82" w:type="dxa"/>
            <w:vMerge w:val="restart"/>
            <w:tcBorders>
              <w:left w:val="single" w:sz="4" w:space="0" w:color="auto"/>
              <w:right w:val="single" w:sz="4" w:space="0" w:color="auto"/>
            </w:tcBorders>
            <w:shd w:val="clear" w:color="auto" w:fill="FFFFFF"/>
          </w:tcPr>
          <w:p w:rsidR="00E12BB4" w:rsidRDefault="00E12BB4">
            <w:pPr>
              <w:framePr w:w="4867" w:wrap="notBeside" w:vAnchor="text" w:hAnchor="text" w:xAlign="center" w:y="1"/>
              <w:rPr>
                <w:sz w:val="10"/>
                <w:szCs w:val="10"/>
              </w:rPr>
            </w:pPr>
          </w:p>
        </w:tc>
      </w:tr>
      <w:tr w:rsidR="00E12BB4">
        <w:trPr>
          <w:trHeight w:hRule="exact" w:val="658"/>
          <w:jc w:val="center"/>
        </w:trPr>
        <w:tc>
          <w:tcPr>
            <w:tcW w:w="144" w:type="dxa"/>
            <w:vMerge/>
            <w:shd w:val="clear" w:color="auto" w:fill="FFFFFF"/>
          </w:tcPr>
          <w:p w:rsidR="00E12BB4" w:rsidRDefault="00E12BB4">
            <w:pPr>
              <w:framePr w:w="4867" w:wrap="notBeside" w:vAnchor="text" w:hAnchor="text" w:xAlign="center" w:y="1"/>
            </w:pPr>
          </w:p>
        </w:tc>
        <w:tc>
          <w:tcPr>
            <w:tcW w:w="1546" w:type="dxa"/>
            <w:tcBorders>
              <w:top w:val="single" w:sz="4" w:space="0" w:color="auto"/>
              <w:left w:val="single" w:sz="4" w:space="0" w:color="auto"/>
            </w:tcBorders>
            <w:shd w:val="clear" w:color="auto" w:fill="FFFFFF"/>
          </w:tcPr>
          <w:p w:rsidR="00E12BB4" w:rsidRDefault="003A60A2">
            <w:pPr>
              <w:pStyle w:val="2"/>
              <w:framePr w:w="4867" w:wrap="notBeside" w:vAnchor="text" w:hAnchor="text" w:xAlign="center" w:y="1"/>
              <w:shd w:val="clear" w:color="auto" w:fill="auto"/>
              <w:spacing w:after="0" w:line="110" w:lineRule="exact"/>
              <w:ind w:left="60" w:firstLine="0"/>
            </w:pPr>
            <w:r>
              <w:rPr>
                <w:rStyle w:val="a7"/>
              </w:rPr>
              <w:t>Acid Reducing Agents:</w:t>
            </w:r>
          </w:p>
        </w:tc>
        <w:tc>
          <w:tcPr>
            <w:tcW w:w="994" w:type="dxa"/>
            <w:vMerge w:val="restart"/>
            <w:tcBorders>
              <w:top w:val="single" w:sz="4" w:space="0" w:color="auto"/>
              <w:left w:val="single" w:sz="4" w:space="0" w:color="auto"/>
            </w:tcBorders>
            <w:shd w:val="clear" w:color="auto" w:fill="FFFFFF"/>
          </w:tcPr>
          <w:p w:rsidR="00E12BB4" w:rsidRDefault="003A60A2">
            <w:pPr>
              <w:pStyle w:val="2"/>
              <w:framePr w:w="4867" w:wrap="notBeside" w:vAnchor="text" w:hAnchor="text" w:xAlign="center" w:y="1"/>
              <w:shd w:val="clear" w:color="auto" w:fill="auto"/>
              <w:spacing w:after="0" w:line="110" w:lineRule="exact"/>
              <w:ind w:left="60" w:firstLine="0"/>
            </w:pPr>
            <w:r>
              <w:rPr>
                <w:rStyle w:val="12"/>
              </w:rPr>
              <w:t xml:space="preserve">4 </w:t>
            </w:r>
            <w:proofErr w:type="spellStart"/>
            <w:r>
              <w:rPr>
                <w:rStyle w:val="12"/>
              </w:rPr>
              <w:t>ledipasvir</w:t>
            </w:r>
            <w:proofErr w:type="spellEnd"/>
          </w:p>
        </w:tc>
        <w:tc>
          <w:tcPr>
            <w:tcW w:w="2102" w:type="dxa"/>
            <w:tcBorders>
              <w:top w:val="single" w:sz="4" w:space="0" w:color="auto"/>
              <w:left w:val="single" w:sz="4" w:space="0" w:color="auto"/>
            </w:tcBorders>
            <w:shd w:val="clear" w:color="auto" w:fill="FFFFFF"/>
            <w:vAlign w:val="bottom"/>
          </w:tcPr>
          <w:p w:rsidR="00E12BB4" w:rsidRDefault="003A60A2">
            <w:pPr>
              <w:pStyle w:val="2"/>
              <w:framePr w:w="4867" w:wrap="notBeside" w:vAnchor="text" w:hAnchor="text" w:xAlign="center" w:y="1"/>
              <w:shd w:val="clear" w:color="auto" w:fill="auto"/>
              <w:spacing w:after="0" w:line="144" w:lineRule="exact"/>
              <w:ind w:left="60" w:firstLine="0"/>
            </w:pPr>
            <w:proofErr w:type="spellStart"/>
            <w:r>
              <w:rPr>
                <w:rStyle w:val="12"/>
              </w:rPr>
              <w:t>Ledipasvir</w:t>
            </w:r>
            <w:proofErr w:type="spellEnd"/>
            <w:r>
              <w:rPr>
                <w:rStyle w:val="12"/>
              </w:rPr>
              <w:t xml:space="preserve"> solubility decreases as pH increases. Drugs that increase gastric pH are expected to decrease concentration of </w:t>
            </w:r>
            <w:proofErr w:type="spellStart"/>
            <w:r>
              <w:rPr>
                <w:rStyle w:val="12"/>
              </w:rPr>
              <w:t>ledipasvir</w:t>
            </w:r>
            <w:proofErr w:type="spellEnd"/>
            <w:r>
              <w:rPr>
                <w:rStyle w:val="12"/>
              </w:rPr>
              <w:t>.</w:t>
            </w:r>
          </w:p>
        </w:tc>
        <w:tc>
          <w:tcPr>
            <w:tcW w:w="82" w:type="dxa"/>
            <w:vMerge/>
            <w:tcBorders>
              <w:left w:val="single" w:sz="4" w:space="0" w:color="auto"/>
              <w:right w:val="single" w:sz="4" w:space="0" w:color="auto"/>
            </w:tcBorders>
            <w:shd w:val="clear" w:color="auto" w:fill="FFFFFF"/>
          </w:tcPr>
          <w:p w:rsidR="00E12BB4" w:rsidRDefault="00E12BB4">
            <w:pPr>
              <w:framePr w:w="4867" w:wrap="notBeside" w:vAnchor="text" w:hAnchor="text" w:xAlign="center" w:y="1"/>
            </w:pPr>
          </w:p>
        </w:tc>
      </w:tr>
      <w:tr w:rsidR="00E12BB4">
        <w:trPr>
          <w:trHeight w:hRule="exact" w:val="518"/>
          <w:jc w:val="center"/>
        </w:trPr>
        <w:tc>
          <w:tcPr>
            <w:tcW w:w="144" w:type="dxa"/>
            <w:vMerge/>
            <w:shd w:val="clear" w:color="auto" w:fill="FFFFFF"/>
          </w:tcPr>
          <w:p w:rsidR="00E12BB4" w:rsidRDefault="00E12BB4">
            <w:pPr>
              <w:framePr w:w="4867" w:wrap="notBeside" w:vAnchor="text" w:hAnchor="text" w:xAlign="center" w:y="1"/>
            </w:pPr>
          </w:p>
        </w:tc>
        <w:tc>
          <w:tcPr>
            <w:tcW w:w="1546" w:type="dxa"/>
            <w:tcBorders>
              <w:top w:val="single" w:sz="4" w:space="0" w:color="auto"/>
              <w:left w:val="single" w:sz="4" w:space="0" w:color="auto"/>
            </w:tcBorders>
            <w:shd w:val="clear" w:color="auto" w:fill="FFFFFF"/>
            <w:vAlign w:val="bottom"/>
          </w:tcPr>
          <w:p w:rsidR="00E12BB4" w:rsidRDefault="003A60A2">
            <w:pPr>
              <w:pStyle w:val="2"/>
              <w:framePr w:w="4867" w:wrap="notBeside" w:vAnchor="text" w:hAnchor="text" w:xAlign="center" w:y="1"/>
              <w:shd w:val="clear" w:color="auto" w:fill="auto"/>
              <w:spacing w:after="0" w:line="144" w:lineRule="exact"/>
              <w:ind w:left="60" w:firstLine="0"/>
            </w:pPr>
            <w:r>
              <w:rPr>
                <w:rStyle w:val="12"/>
              </w:rPr>
              <w:t>Antacids (e.g., aluminum and magnesium hydroxide)</w:t>
            </w:r>
          </w:p>
        </w:tc>
        <w:tc>
          <w:tcPr>
            <w:tcW w:w="994" w:type="dxa"/>
            <w:vMerge/>
            <w:tcBorders>
              <w:left w:val="single" w:sz="4" w:space="0" w:color="auto"/>
            </w:tcBorders>
            <w:shd w:val="clear" w:color="auto" w:fill="FFFFFF"/>
          </w:tcPr>
          <w:p w:rsidR="00E12BB4" w:rsidRDefault="00E12BB4">
            <w:pPr>
              <w:framePr w:w="4867" w:wrap="notBeside" w:vAnchor="text" w:hAnchor="text" w:xAlign="center" w:y="1"/>
            </w:pPr>
          </w:p>
        </w:tc>
        <w:tc>
          <w:tcPr>
            <w:tcW w:w="2102" w:type="dxa"/>
            <w:tcBorders>
              <w:top w:val="single" w:sz="4" w:space="0" w:color="auto"/>
              <w:left w:val="single" w:sz="4" w:space="0" w:color="auto"/>
            </w:tcBorders>
            <w:shd w:val="clear" w:color="auto" w:fill="FFFFFF"/>
            <w:vAlign w:val="bottom"/>
          </w:tcPr>
          <w:p w:rsidR="00E12BB4" w:rsidRDefault="003A60A2">
            <w:pPr>
              <w:pStyle w:val="2"/>
              <w:framePr w:w="4867" w:wrap="notBeside" w:vAnchor="text" w:hAnchor="text" w:xAlign="center" w:y="1"/>
              <w:shd w:val="clear" w:color="auto" w:fill="auto"/>
              <w:spacing w:after="0" w:line="144" w:lineRule="exact"/>
              <w:ind w:firstLine="0"/>
              <w:jc w:val="both"/>
            </w:pPr>
            <w:r>
              <w:rPr>
                <w:rStyle w:val="12"/>
              </w:rPr>
              <w:t>It is recommended to separate antac</w:t>
            </w:r>
            <w:r>
              <w:rPr>
                <w:rStyle w:val="12"/>
              </w:rPr>
              <w:softHyphen/>
              <w:t>id and HEPCINAT-LP administration by 4 hours.</w:t>
            </w:r>
          </w:p>
        </w:tc>
        <w:tc>
          <w:tcPr>
            <w:tcW w:w="82" w:type="dxa"/>
            <w:vMerge/>
            <w:tcBorders>
              <w:left w:val="single" w:sz="4" w:space="0" w:color="auto"/>
              <w:right w:val="single" w:sz="4" w:space="0" w:color="auto"/>
            </w:tcBorders>
            <w:shd w:val="clear" w:color="auto" w:fill="FFFFFF"/>
          </w:tcPr>
          <w:p w:rsidR="00E12BB4" w:rsidRDefault="00E12BB4">
            <w:pPr>
              <w:framePr w:w="4867" w:wrap="notBeside" w:vAnchor="text" w:hAnchor="text" w:xAlign="center" w:y="1"/>
            </w:pPr>
          </w:p>
        </w:tc>
      </w:tr>
      <w:tr w:rsidR="00E12BB4">
        <w:trPr>
          <w:trHeight w:hRule="exact" w:val="941"/>
          <w:jc w:val="center"/>
        </w:trPr>
        <w:tc>
          <w:tcPr>
            <w:tcW w:w="144" w:type="dxa"/>
            <w:vMerge/>
            <w:shd w:val="clear" w:color="auto" w:fill="FFFFFF"/>
          </w:tcPr>
          <w:p w:rsidR="00E12BB4" w:rsidRDefault="00E12BB4">
            <w:pPr>
              <w:framePr w:w="4867" w:wrap="notBeside" w:vAnchor="text" w:hAnchor="text" w:xAlign="center" w:y="1"/>
            </w:pPr>
          </w:p>
        </w:tc>
        <w:tc>
          <w:tcPr>
            <w:tcW w:w="1546" w:type="dxa"/>
            <w:tcBorders>
              <w:top w:val="single" w:sz="4" w:space="0" w:color="auto"/>
              <w:left w:val="single" w:sz="4" w:space="0" w:color="auto"/>
            </w:tcBorders>
            <w:shd w:val="clear" w:color="auto" w:fill="FFFFFF"/>
          </w:tcPr>
          <w:p w:rsidR="00E12BB4" w:rsidRDefault="003A60A2">
            <w:pPr>
              <w:pStyle w:val="2"/>
              <w:framePr w:w="4867" w:wrap="notBeside" w:vAnchor="text" w:hAnchor="text" w:xAlign="center" w:y="1"/>
              <w:shd w:val="clear" w:color="auto" w:fill="auto"/>
              <w:spacing w:after="0" w:line="139" w:lineRule="exact"/>
              <w:ind w:left="60" w:firstLine="0"/>
            </w:pPr>
            <w:r>
              <w:rPr>
                <w:rStyle w:val="12"/>
              </w:rPr>
              <w:t>H</w:t>
            </w:r>
            <w:r>
              <w:rPr>
                <w:rStyle w:val="12"/>
                <w:vertAlign w:val="subscript"/>
              </w:rPr>
              <w:t>2</w:t>
            </w:r>
            <w:r>
              <w:rPr>
                <w:rStyle w:val="12"/>
              </w:rPr>
              <w:t>-receptor antagonists</w:t>
            </w:r>
            <w:r>
              <w:rPr>
                <w:rStyle w:val="12"/>
                <w:vertAlign w:val="superscript"/>
              </w:rPr>
              <w:t>0</w:t>
            </w:r>
            <w:r>
              <w:rPr>
                <w:rStyle w:val="12"/>
              </w:rPr>
              <w:t xml:space="preserve"> (e.g., famotidine)</w:t>
            </w:r>
          </w:p>
        </w:tc>
        <w:tc>
          <w:tcPr>
            <w:tcW w:w="994" w:type="dxa"/>
            <w:vMerge/>
            <w:tcBorders>
              <w:left w:val="single" w:sz="4" w:space="0" w:color="auto"/>
            </w:tcBorders>
            <w:shd w:val="clear" w:color="auto" w:fill="FFFFFF"/>
          </w:tcPr>
          <w:p w:rsidR="00E12BB4" w:rsidRDefault="00E12BB4">
            <w:pPr>
              <w:framePr w:w="4867" w:wrap="notBeside" w:vAnchor="text" w:hAnchor="text" w:xAlign="center" w:y="1"/>
            </w:pPr>
          </w:p>
        </w:tc>
        <w:tc>
          <w:tcPr>
            <w:tcW w:w="2102" w:type="dxa"/>
            <w:tcBorders>
              <w:top w:val="single" w:sz="4" w:space="0" w:color="auto"/>
              <w:left w:val="single" w:sz="4" w:space="0" w:color="auto"/>
            </w:tcBorders>
            <w:shd w:val="clear" w:color="auto" w:fill="FFFFFF"/>
            <w:vAlign w:val="bottom"/>
          </w:tcPr>
          <w:p w:rsidR="00E12BB4" w:rsidRDefault="003A60A2">
            <w:pPr>
              <w:pStyle w:val="2"/>
              <w:framePr w:w="4867" w:wrap="notBeside" w:vAnchor="text" w:hAnchor="text" w:xAlign="center" w:y="1"/>
              <w:shd w:val="clear" w:color="auto" w:fill="auto"/>
              <w:spacing w:after="0" w:line="144" w:lineRule="exact"/>
              <w:ind w:firstLine="0"/>
              <w:jc w:val="both"/>
            </w:pPr>
            <w:proofErr w:type="spellStart"/>
            <w:r>
              <w:rPr>
                <w:rStyle w:val="12"/>
              </w:rPr>
              <w:t>Hj</w:t>
            </w:r>
            <w:proofErr w:type="spellEnd"/>
            <w:r>
              <w:rPr>
                <w:rStyle w:val="12"/>
              </w:rPr>
              <w:t>-receptor antagonists may be ad</w:t>
            </w:r>
            <w:r>
              <w:rPr>
                <w:rStyle w:val="12"/>
              </w:rPr>
              <w:softHyphen/>
              <w:t>ministered simultaneously with or 12 hours apart from HEPCINAT-LP at a dose that does not exceed doses comparable to famotidine 40 mg twice daily.</w:t>
            </w:r>
          </w:p>
        </w:tc>
        <w:tc>
          <w:tcPr>
            <w:tcW w:w="82" w:type="dxa"/>
            <w:vMerge/>
            <w:tcBorders>
              <w:left w:val="single" w:sz="4" w:space="0" w:color="auto"/>
              <w:right w:val="single" w:sz="4" w:space="0" w:color="auto"/>
            </w:tcBorders>
            <w:shd w:val="clear" w:color="auto" w:fill="FFFFFF"/>
          </w:tcPr>
          <w:p w:rsidR="00E12BB4" w:rsidRDefault="00E12BB4">
            <w:pPr>
              <w:framePr w:w="4867" w:wrap="notBeside" w:vAnchor="text" w:hAnchor="text" w:xAlign="center" w:y="1"/>
            </w:pPr>
          </w:p>
        </w:tc>
      </w:tr>
      <w:tr w:rsidR="00E12BB4">
        <w:trPr>
          <w:trHeight w:hRule="exact" w:val="331"/>
          <w:jc w:val="center"/>
        </w:trPr>
        <w:tc>
          <w:tcPr>
            <w:tcW w:w="144" w:type="dxa"/>
            <w:vMerge/>
            <w:shd w:val="clear" w:color="auto" w:fill="FFFFFF"/>
          </w:tcPr>
          <w:p w:rsidR="00E12BB4" w:rsidRDefault="00E12BB4">
            <w:pPr>
              <w:framePr w:w="4867" w:wrap="notBeside" w:vAnchor="text" w:hAnchor="text" w:xAlign="center" w:y="1"/>
            </w:pPr>
          </w:p>
        </w:tc>
        <w:tc>
          <w:tcPr>
            <w:tcW w:w="1546" w:type="dxa"/>
            <w:tcBorders>
              <w:top w:val="single" w:sz="4" w:space="0" w:color="auto"/>
              <w:left w:val="single" w:sz="4" w:space="0" w:color="auto"/>
            </w:tcBorders>
            <w:shd w:val="clear" w:color="auto" w:fill="FFFFFF"/>
            <w:vAlign w:val="bottom"/>
          </w:tcPr>
          <w:p w:rsidR="00E12BB4" w:rsidRDefault="003A60A2">
            <w:pPr>
              <w:pStyle w:val="2"/>
              <w:framePr w:w="4867" w:wrap="notBeside" w:vAnchor="text" w:hAnchor="text" w:xAlign="center" w:y="1"/>
              <w:shd w:val="clear" w:color="auto" w:fill="auto"/>
              <w:spacing w:after="0" w:line="110" w:lineRule="exact"/>
              <w:ind w:left="60" w:firstLine="0"/>
            </w:pPr>
            <w:r>
              <w:rPr>
                <w:rStyle w:val="12"/>
              </w:rPr>
              <w:t>Proton-pump inhibitors'</w:t>
            </w:r>
          </w:p>
          <w:p w:rsidR="00E12BB4" w:rsidRDefault="003A60A2">
            <w:pPr>
              <w:pStyle w:val="2"/>
              <w:framePr w:w="4867" w:wrap="notBeside" w:vAnchor="text" w:hAnchor="text" w:xAlign="center" w:y="1"/>
              <w:shd w:val="clear" w:color="auto" w:fill="auto"/>
              <w:spacing w:after="0" w:line="110" w:lineRule="exact"/>
              <w:ind w:left="60" w:firstLine="0"/>
            </w:pPr>
            <w:r>
              <w:rPr>
                <w:rStyle w:val="aa"/>
              </w:rPr>
              <w:t xml:space="preserve">(a </w:t>
            </w:r>
            <w:r>
              <w:rPr>
                <w:rStyle w:val="aa"/>
                <w:lang w:val="ru-RU" w:eastAsia="ru-RU" w:bidi="ru-RU"/>
              </w:rPr>
              <w:t>г</w:t>
            </w:r>
            <w:r w:rsidRPr="002248DD">
              <w:rPr>
                <w:rStyle w:val="12"/>
                <w:lang w:eastAsia="ru-RU" w:bidi="ru-RU"/>
              </w:rPr>
              <w:t xml:space="preserve"> </w:t>
            </w:r>
            <w:proofErr w:type="spellStart"/>
            <w:r>
              <w:rPr>
                <w:rStyle w:val="4pt"/>
              </w:rPr>
              <w:t>пгг</w:t>
            </w:r>
            <w:proofErr w:type="spellEnd"/>
            <w:r w:rsidRPr="002248DD">
              <w:rPr>
                <w:rStyle w:val="4pt"/>
                <w:lang w:val="en-US"/>
              </w:rPr>
              <w:t>*01"1</w:t>
            </w:r>
            <w:r>
              <w:rPr>
                <w:rStyle w:val="4pt"/>
              </w:rPr>
              <w:t>г</w:t>
            </w:r>
            <w:r w:rsidRPr="002248DD">
              <w:rPr>
                <w:rStyle w:val="4pt"/>
                <w:vertAlign w:val="superscript"/>
                <w:lang w:val="en-US"/>
              </w:rPr>
              <w:t>,</w:t>
            </w:r>
            <w:r w:rsidRPr="002248DD">
              <w:rPr>
                <w:rStyle w:val="4pt"/>
                <w:lang w:val="en-US"/>
              </w:rPr>
              <w:t>'</w:t>
            </w:r>
            <w:r>
              <w:rPr>
                <w:rStyle w:val="4pt"/>
              </w:rPr>
              <w:t>а</w:t>
            </w:r>
            <w:r w:rsidRPr="002248DD">
              <w:rPr>
                <w:rStyle w:val="4pt"/>
                <w:vertAlign w:val="superscript"/>
                <w:lang w:val="en-US"/>
              </w:rPr>
              <w:t>-</w:t>
            </w:r>
            <w:r w:rsidRPr="002248DD">
              <w:rPr>
                <w:rStyle w:val="4pt"/>
                <w:lang w:val="en-US"/>
              </w:rPr>
              <w:t>7«-»1</w:t>
            </w:r>
            <w:proofErr w:type="spellStart"/>
            <w:r>
              <w:rPr>
                <w:rStyle w:val="4pt"/>
              </w:rPr>
              <w:t>сЛ</w:t>
            </w:r>
            <w:proofErr w:type="spellEnd"/>
          </w:p>
        </w:tc>
        <w:tc>
          <w:tcPr>
            <w:tcW w:w="994" w:type="dxa"/>
            <w:vMerge/>
            <w:tcBorders>
              <w:left w:val="single" w:sz="4" w:space="0" w:color="auto"/>
            </w:tcBorders>
            <w:shd w:val="clear" w:color="auto" w:fill="FFFFFF"/>
          </w:tcPr>
          <w:p w:rsidR="00E12BB4" w:rsidRDefault="00E12BB4">
            <w:pPr>
              <w:framePr w:w="4867" w:wrap="notBeside" w:vAnchor="text" w:hAnchor="text" w:xAlign="center" w:y="1"/>
            </w:pPr>
          </w:p>
        </w:tc>
        <w:tc>
          <w:tcPr>
            <w:tcW w:w="2102" w:type="dxa"/>
            <w:tcBorders>
              <w:top w:val="single" w:sz="4" w:space="0" w:color="auto"/>
              <w:left w:val="single" w:sz="4" w:space="0" w:color="auto"/>
            </w:tcBorders>
            <w:shd w:val="clear" w:color="auto" w:fill="FFFFFF"/>
            <w:vAlign w:val="bottom"/>
          </w:tcPr>
          <w:p w:rsidR="00E12BB4" w:rsidRDefault="003A60A2">
            <w:pPr>
              <w:pStyle w:val="2"/>
              <w:framePr w:w="4867" w:wrap="notBeside" w:vAnchor="text" w:hAnchor="text" w:xAlign="center" w:y="1"/>
              <w:shd w:val="clear" w:color="auto" w:fill="auto"/>
              <w:spacing w:after="0"/>
              <w:ind w:left="60" w:firstLine="0"/>
            </w:pPr>
            <w:r>
              <w:rPr>
                <w:rStyle w:val="12"/>
              </w:rPr>
              <w:t>Proton-pump Inhibitor doses compa</w:t>
            </w:r>
            <w:r>
              <w:rPr>
                <w:rStyle w:val="12"/>
              </w:rPr>
              <w:softHyphen/>
              <w:t xml:space="preserve">rable to </w:t>
            </w:r>
            <w:proofErr w:type="spellStart"/>
            <w:r>
              <w:rPr>
                <w:rStyle w:val="12"/>
              </w:rPr>
              <w:t>omeorazole</w:t>
            </w:r>
            <w:proofErr w:type="spellEnd"/>
            <w:r>
              <w:rPr>
                <w:rStyle w:val="12"/>
              </w:rPr>
              <w:t xml:space="preserve"> 20 </w:t>
            </w:r>
            <w:proofErr w:type="spellStart"/>
            <w:r>
              <w:rPr>
                <w:rStyle w:val="12"/>
              </w:rPr>
              <w:t>mo</w:t>
            </w:r>
            <w:proofErr w:type="spellEnd"/>
            <w:r>
              <w:rPr>
                <w:rStyle w:val="12"/>
              </w:rPr>
              <w:t xml:space="preserve"> or lower</w:t>
            </w:r>
          </w:p>
        </w:tc>
        <w:tc>
          <w:tcPr>
            <w:tcW w:w="82" w:type="dxa"/>
            <w:vMerge/>
            <w:tcBorders>
              <w:left w:val="single" w:sz="4" w:space="0" w:color="auto"/>
              <w:right w:val="single" w:sz="4" w:space="0" w:color="auto"/>
            </w:tcBorders>
            <w:shd w:val="clear" w:color="auto" w:fill="FFFFFF"/>
          </w:tcPr>
          <w:p w:rsidR="00E12BB4" w:rsidRDefault="00E12BB4">
            <w:pPr>
              <w:framePr w:w="4867" w:wrap="notBeside" w:vAnchor="text" w:hAnchor="text" w:xAlign="center" w:y="1"/>
            </w:pPr>
          </w:p>
        </w:tc>
      </w:tr>
    </w:tbl>
    <w:p w:rsidR="00E12BB4" w:rsidRDefault="00E12BB4">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598"/>
        <w:gridCol w:w="989"/>
        <w:gridCol w:w="2179"/>
      </w:tblGrid>
      <w:tr w:rsidR="00E12BB4">
        <w:trPr>
          <w:trHeight w:hRule="exact" w:val="1968"/>
          <w:jc w:val="center"/>
        </w:trPr>
        <w:tc>
          <w:tcPr>
            <w:tcW w:w="1598" w:type="dxa"/>
            <w:tcBorders>
              <w:top w:val="single" w:sz="4" w:space="0" w:color="auto"/>
              <w:lef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44" w:lineRule="exact"/>
              <w:ind w:left="120" w:firstLine="0"/>
            </w:pPr>
            <w:r>
              <w:rPr>
                <w:rStyle w:val="12"/>
              </w:rPr>
              <w:t xml:space="preserve">Regimens containing </w:t>
            </w:r>
            <w:proofErr w:type="spellStart"/>
            <w:r>
              <w:rPr>
                <w:rStyle w:val="12"/>
              </w:rPr>
              <w:t>tenofovir</w:t>
            </w:r>
            <w:proofErr w:type="spellEnd"/>
            <w:r>
              <w:rPr>
                <w:rStyle w:val="12"/>
              </w:rPr>
              <w:t xml:space="preserve"> DF and a HIV protease inhibitor/ritonavir</w:t>
            </w:r>
          </w:p>
          <w:p w:rsidR="00E12BB4" w:rsidRDefault="003A60A2">
            <w:pPr>
              <w:pStyle w:val="2"/>
              <w:framePr w:w="4766" w:wrap="notBeside" w:vAnchor="text" w:hAnchor="text" w:xAlign="center" w:y="1"/>
              <w:numPr>
                <w:ilvl w:val="0"/>
                <w:numId w:val="13"/>
              </w:numPr>
              <w:shd w:val="clear" w:color="auto" w:fill="auto"/>
              <w:tabs>
                <w:tab w:val="left" w:pos="206"/>
              </w:tabs>
              <w:spacing w:after="0" w:line="144" w:lineRule="exact"/>
              <w:ind w:left="120" w:firstLine="0"/>
            </w:pPr>
            <w:proofErr w:type="spellStart"/>
            <w:r>
              <w:rPr>
                <w:rStyle w:val="12"/>
              </w:rPr>
              <w:t>atazanavir</w:t>
            </w:r>
            <w:proofErr w:type="spellEnd"/>
            <w:r>
              <w:rPr>
                <w:rStyle w:val="12"/>
              </w:rPr>
              <w:t xml:space="preserve">/ritonavir + </w:t>
            </w:r>
            <w:proofErr w:type="spellStart"/>
            <w:r>
              <w:rPr>
                <w:rStyle w:val="12"/>
              </w:rPr>
              <w:t>emtricitabine</w:t>
            </w:r>
            <w:proofErr w:type="spellEnd"/>
            <w:r>
              <w:rPr>
                <w:rStyle w:val="12"/>
              </w:rPr>
              <w:t>/</w:t>
            </w:r>
            <w:proofErr w:type="spellStart"/>
            <w:r>
              <w:rPr>
                <w:rStyle w:val="12"/>
              </w:rPr>
              <w:t>tenofovir</w:t>
            </w:r>
            <w:proofErr w:type="spellEnd"/>
            <w:r>
              <w:rPr>
                <w:rStyle w:val="12"/>
              </w:rPr>
              <w:t xml:space="preserve"> DF</w:t>
            </w:r>
          </w:p>
          <w:p w:rsidR="00E12BB4" w:rsidRDefault="003A60A2">
            <w:pPr>
              <w:pStyle w:val="2"/>
              <w:framePr w:w="4766" w:wrap="notBeside" w:vAnchor="text" w:hAnchor="text" w:xAlign="center" w:y="1"/>
              <w:numPr>
                <w:ilvl w:val="0"/>
                <w:numId w:val="13"/>
              </w:numPr>
              <w:shd w:val="clear" w:color="auto" w:fill="auto"/>
              <w:tabs>
                <w:tab w:val="left" w:pos="245"/>
              </w:tabs>
              <w:spacing w:after="0" w:line="144" w:lineRule="exact"/>
              <w:ind w:left="120" w:firstLine="0"/>
            </w:pPr>
            <w:proofErr w:type="spellStart"/>
            <w:r>
              <w:rPr>
                <w:rStyle w:val="12"/>
              </w:rPr>
              <w:t>darunavir</w:t>
            </w:r>
            <w:proofErr w:type="spellEnd"/>
            <w:r>
              <w:rPr>
                <w:rStyle w:val="12"/>
              </w:rPr>
              <w:t xml:space="preserve">/ritonavir + </w:t>
            </w:r>
            <w:proofErr w:type="spellStart"/>
            <w:r>
              <w:rPr>
                <w:rStyle w:val="12"/>
              </w:rPr>
              <w:t>emtricitabine</w:t>
            </w:r>
            <w:proofErr w:type="spellEnd"/>
            <w:r>
              <w:rPr>
                <w:rStyle w:val="12"/>
              </w:rPr>
              <w:t>/</w:t>
            </w:r>
            <w:proofErr w:type="spellStart"/>
            <w:r>
              <w:rPr>
                <w:rStyle w:val="12"/>
              </w:rPr>
              <w:t>tenofovir</w:t>
            </w:r>
            <w:proofErr w:type="spellEnd"/>
            <w:r>
              <w:rPr>
                <w:rStyle w:val="12"/>
              </w:rPr>
              <w:t xml:space="preserve"> DF°</w:t>
            </w:r>
          </w:p>
          <w:p w:rsidR="00E12BB4" w:rsidRDefault="003A60A2">
            <w:pPr>
              <w:pStyle w:val="2"/>
              <w:framePr w:w="4766" w:wrap="notBeside" w:vAnchor="text" w:hAnchor="text" w:xAlign="center" w:y="1"/>
              <w:numPr>
                <w:ilvl w:val="0"/>
                <w:numId w:val="13"/>
              </w:numPr>
              <w:shd w:val="clear" w:color="auto" w:fill="auto"/>
              <w:tabs>
                <w:tab w:val="left" w:pos="211"/>
              </w:tabs>
              <w:spacing w:after="0" w:line="144" w:lineRule="exact"/>
              <w:ind w:left="120" w:firstLine="0"/>
            </w:pPr>
            <w:proofErr w:type="spellStart"/>
            <w:r>
              <w:rPr>
                <w:rStyle w:val="12"/>
              </w:rPr>
              <w:t>lopinavir</w:t>
            </w:r>
            <w:proofErr w:type="spellEnd"/>
            <w:r>
              <w:rPr>
                <w:rStyle w:val="12"/>
              </w:rPr>
              <w:t xml:space="preserve">/ritonavir </w:t>
            </w:r>
            <w:r>
              <w:rPr>
                <w:rStyle w:val="aa"/>
              </w:rPr>
              <w:t xml:space="preserve">+ </w:t>
            </w:r>
            <w:proofErr w:type="spellStart"/>
            <w:r>
              <w:rPr>
                <w:rStyle w:val="12"/>
              </w:rPr>
              <w:t>emtricitabine</w:t>
            </w:r>
            <w:proofErr w:type="spellEnd"/>
            <w:r>
              <w:rPr>
                <w:rStyle w:val="12"/>
              </w:rPr>
              <w:t>/</w:t>
            </w:r>
            <w:proofErr w:type="spellStart"/>
            <w:r>
              <w:rPr>
                <w:rStyle w:val="12"/>
              </w:rPr>
              <w:t>tenofovir</w:t>
            </w:r>
            <w:proofErr w:type="spellEnd"/>
            <w:r>
              <w:rPr>
                <w:rStyle w:val="12"/>
              </w:rPr>
              <w:t xml:space="preserve"> DF</w:t>
            </w:r>
          </w:p>
        </w:tc>
        <w:tc>
          <w:tcPr>
            <w:tcW w:w="989" w:type="dxa"/>
            <w:tcBorders>
              <w:top w:val="single" w:sz="4" w:space="0" w:color="auto"/>
              <w:lef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10" w:lineRule="exact"/>
              <w:ind w:firstLine="0"/>
              <w:jc w:val="both"/>
            </w:pPr>
            <w:r>
              <w:rPr>
                <w:rStyle w:val="12"/>
              </w:rPr>
              <w:t xml:space="preserve">T </w:t>
            </w:r>
            <w:proofErr w:type="spellStart"/>
            <w:r>
              <w:rPr>
                <w:rStyle w:val="12"/>
              </w:rPr>
              <w:t>tenofovir</w:t>
            </w:r>
            <w:proofErr w:type="spellEnd"/>
          </w:p>
        </w:tc>
        <w:tc>
          <w:tcPr>
            <w:tcW w:w="2179"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766" w:wrap="notBeside" w:vAnchor="text" w:hAnchor="text" w:xAlign="center" w:y="1"/>
              <w:shd w:val="clear" w:color="auto" w:fill="auto"/>
              <w:spacing w:after="0" w:line="139" w:lineRule="exact"/>
              <w:ind w:left="60" w:firstLine="0"/>
            </w:pPr>
            <w:r>
              <w:rPr>
                <w:rStyle w:val="12"/>
              </w:rPr>
              <w:t xml:space="preserve">The safety of increased </w:t>
            </w:r>
            <w:proofErr w:type="spellStart"/>
            <w:r>
              <w:rPr>
                <w:rStyle w:val="12"/>
              </w:rPr>
              <w:t>tenofovir</w:t>
            </w:r>
            <w:proofErr w:type="spellEnd"/>
            <w:r>
              <w:rPr>
                <w:rStyle w:val="12"/>
              </w:rPr>
              <w:t xml:space="preserve"> concentrations in the setting of HEPCINAT-LP and a HIV protease inhibitor/ritonavir has not been established. Consider alternative HCV or antiretroviral therapy to avoid increases in </w:t>
            </w:r>
            <w:proofErr w:type="spellStart"/>
            <w:r>
              <w:rPr>
                <w:rStyle w:val="12"/>
              </w:rPr>
              <w:t>tenofovir</w:t>
            </w:r>
            <w:proofErr w:type="spellEnd"/>
            <w:r>
              <w:rPr>
                <w:rStyle w:val="12"/>
              </w:rPr>
              <w:t xml:space="preserve"> exposures.</w:t>
            </w:r>
          </w:p>
          <w:p w:rsidR="00E12BB4" w:rsidRDefault="003A60A2">
            <w:pPr>
              <w:pStyle w:val="2"/>
              <w:framePr w:w="4766" w:wrap="notBeside" w:vAnchor="text" w:hAnchor="text" w:xAlign="center" w:y="1"/>
              <w:shd w:val="clear" w:color="auto" w:fill="auto"/>
              <w:spacing w:after="0" w:line="139" w:lineRule="exact"/>
              <w:ind w:left="60" w:firstLine="0"/>
            </w:pPr>
            <w:r>
              <w:rPr>
                <w:rStyle w:val="12"/>
              </w:rPr>
              <w:t xml:space="preserve">If </w:t>
            </w:r>
            <w:proofErr w:type="spellStart"/>
            <w:r>
              <w:rPr>
                <w:rStyle w:val="12"/>
              </w:rPr>
              <w:t>coadministration</w:t>
            </w:r>
            <w:proofErr w:type="spellEnd"/>
            <w:r>
              <w:rPr>
                <w:rStyle w:val="12"/>
              </w:rPr>
              <w:t xml:space="preserve"> is necessary, monitor for </w:t>
            </w:r>
            <w:proofErr w:type="spellStart"/>
            <w:r>
              <w:rPr>
                <w:rStyle w:val="12"/>
              </w:rPr>
              <w:t>tenofovir</w:t>
            </w:r>
            <w:proofErr w:type="spellEnd"/>
            <w:r>
              <w:rPr>
                <w:rStyle w:val="12"/>
              </w:rPr>
              <w:t>-associated adverse reactions. Refer to VIREAD or TRUVADA prescribing information for recommendations on renal monitoring.</w:t>
            </w:r>
          </w:p>
        </w:tc>
      </w:tr>
      <w:tr w:rsidR="00E12BB4">
        <w:trPr>
          <w:trHeight w:hRule="exact" w:val="389"/>
          <w:jc w:val="center"/>
        </w:trPr>
        <w:tc>
          <w:tcPr>
            <w:tcW w:w="1598" w:type="dxa"/>
            <w:tcBorders>
              <w:top w:val="single" w:sz="4" w:space="0" w:color="auto"/>
              <w:lef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44" w:lineRule="exact"/>
              <w:ind w:left="120" w:firstLine="0"/>
            </w:pPr>
            <w:proofErr w:type="spellStart"/>
            <w:r>
              <w:rPr>
                <w:rStyle w:val="12"/>
              </w:rPr>
              <w:t>elvitegravir</w:t>
            </w:r>
            <w:proofErr w:type="spellEnd"/>
            <w:r>
              <w:rPr>
                <w:rStyle w:val="12"/>
              </w:rPr>
              <w:t xml:space="preserve">, </w:t>
            </w:r>
            <w:proofErr w:type="spellStart"/>
            <w:r>
              <w:rPr>
                <w:rStyle w:val="12"/>
              </w:rPr>
              <w:t>cobicistat</w:t>
            </w:r>
            <w:proofErr w:type="spellEnd"/>
            <w:r>
              <w:rPr>
                <w:rStyle w:val="12"/>
              </w:rPr>
              <w:t xml:space="preserve">, </w:t>
            </w:r>
            <w:proofErr w:type="spellStart"/>
            <w:r>
              <w:rPr>
                <w:rStyle w:val="12"/>
              </w:rPr>
              <w:t>emtricitabine</w:t>
            </w:r>
            <w:proofErr w:type="spellEnd"/>
            <w:r>
              <w:rPr>
                <w:rStyle w:val="12"/>
              </w:rPr>
              <w:t xml:space="preserve">, </w:t>
            </w:r>
            <w:proofErr w:type="spellStart"/>
            <w:r>
              <w:rPr>
                <w:rStyle w:val="12"/>
              </w:rPr>
              <w:t>tenofovir</w:t>
            </w:r>
            <w:proofErr w:type="spellEnd"/>
            <w:r>
              <w:rPr>
                <w:rStyle w:val="12"/>
              </w:rPr>
              <w:t xml:space="preserve"> DF</w:t>
            </w:r>
          </w:p>
        </w:tc>
        <w:tc>
          <w:tcPr>
            <w:tcW w:w="989" w:type="dxa"/>
            <w:tcBorders>
              <w:top w:val="single" w:sz="4" w:space="0" w:color="auto"/>
              <w:lef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10" w:lineRule="exact"/>
              <w:ind w:firstLine="0"/>
              <w:jc w:val="both"/>
            </w:pPr>
            <w:r>
              <w:rPr>
                <w:rStyle w:val="12"/>
              </w:rPr>
              <w:t xml:space="preserve">t </w:t>
            </w:r>
            <w:proofErr w:type="spellStart"/>
            <w:r>
              <w:rPr>
                <w:rStyle w:val="12"/>
              </w:rPr>
              <w:t>tenofovir</w:t>
            </w:r>
            <w:proofErr w:type="spellEnd"/>
          </w:p>
        </w:tc>
        <w:tc>
          <w:tcPr>
            <w:tcW w:w="2179" w:type="dxa"/>
            <w:tcBorders>
              <w:top w:val="single" w:sz="4" w:space="0" w:color="auto"/>
              <w:left w:val="single" w:sz="4" w:space="0" w:color="auto"/>
              <w:righ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44" w:lineRule="exact"/>
              <w:ind w:left="60" w:firstLine="0"/>
            </w:pPr>
            <w:r>
              <w:rPr>
                <w:rStyle w:val="12"/>
              </w:rPr>
              <w:t xml:space="preserve">The safety of increased </w:t>
            </w:r>
            <w:proofErr w:type="spellStart"/>
            <w:r>
              <w:rPr>
                <w:rStyle w:val="12"/>
              </w:rPr>
              <w:t>tenofovir</w:t>
            </w:r>
            <w:proofErr w:type="spellEnd"/>
            <w:r>
              <w:rPr>
                <w:rStyle w:val="12"/>
              </w:rPr>
              <w:t xml:space="preserve"> concentrations in the setting of</w:t>
            </w:r>
          </w:p>
        </w:tc>
      </w:tr>
      <w:tr w:rsidR="00E12BB4">
        <w:trPr>
          <w:trHeight w:hRule="exact" w:val="686"/>
          <w:jc w:val="center"/>
        </w:trPr>
        <w:tc>
          <w:tcPr>
            <w:tcW w:w="1598" w:type="dxa"/>
            <w:tcBorders>
              <w:left w:val="single" w:sz="4" w:space="0" w:color="auto"/>
            </w:tcBorders>
            <w:shd w:val="clear" w:color="auto" w:fill="FFFFFF"/>
          </w:tcPr>
          <w:p w:rsidR="00E12BB4" w:rsidRDefault="00E12BB4">
            <w:pPr>
              <w:framePr w:w="4766" w:wrap="notBeside" w:vAnchor="text" w:hAnchor="text" w:xAlign="center" w:y="1"/>
              <w:rPr>
                <w:sz w:val="10"/>
                <w:szCs w:val="10"/>
              </w:rPr>
            </w:pPr>
          </w:p>
        </w:tc>
        <w:tc>
          <w:tcPr>
            <w:tcW w:w="989" w:type="dxa"/>
            <w:tcBorders>
              <w:left w:val="single" w:sz="4" w:space="0" w:color="auto"/>
            </w:tcBorders>
            <w:shd w:val="clear" w:color="auto" w:fill="FFFFFF"/>
          </w:tcPr>
          <w:p w:rsidR="00E12BB4" w:rsidRDefault="00E12BB4">
            <w:pPr>
              <w:framePr w:w="4766" w:wrap="notBeside" w:vAnchor="text" w:hAnchor="text" w:xAlign="center" w:y="1"/>
              <w:rPr>
                <w:sz w:val="10"/>
                <w:szCs w:val="10"/>
              </w:rPr>
            </w:pPr>
          </w:p>
        </w:tc>
        <w:tc>
          <w:tcPr>
            <w:tcW w:w="2179" w:type="dxa"/>
            <w:tcBorders>
              <w:left w:val="single" w:sz="4" w:space="0" w:color="auto"/>
              <w:righ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39" w:lineRule="exact"/>
              <w:ind w:left="60" w:firstLine="0"/>
            </w:pPr>
            <w:r>
              <w:rPr>
                <w:rStyle w:val="12"/>
              </w:rPr>
              <w:t xml:space="preserve">HEPCINAT-LP and the combination of </w:t>
            </w:r>
            <w:proofErr w:type="spellStart"/>
            <w:r>
              <w:rPr>
                <w:rStyle w:val="12"/>
              </w:rPr>
              <w:t>elvitegravir</w:t>
            </w:r>
            <w:proofErr w:type="spellEnd"/>
            <w:r>
              <w:rPr>
                <w:rStyle w:val="12"/>
              </w:rPr>
              <w:t xml:space="preserve">, </w:t>
            </w:r>
            <w:proofErr w:type="spellStart"/>
            <w:r>
              <w:rPr>
                <w:rStyle w:val="12"/>
              </w:rPr>
              <w:t>cobicistat</w:t>
            </w:r>
            <w:proofErr w:type="spellEnd"/>
            <w:r>
              <w:rPr>
                <w:rStyle w:val="12"/>
              </w:rPr>
              <w:t xml:space="preserve">, </w:t>
            </w:r>
            <w:proofErr w:type="spellStart"/>
            <w:r>
              <w:rPr>
                <w:rStyle w:val="12"/>
              </w:rPr>
              <w:t>emtricit</w:t>
            </w:r>
            <w:r>
              <w:rPr>
                <w:rStyle w:val="12"/>
              </w:rPr>
              <w:softHyphen/>
              <w:t>abine</w:t>
            </w:r>
            <w:proofErr w:type="spellEnd"/>
            <w:r>
              <w:rPr>
                <w:rStyle w:val="12"/>
              </w:rPr>
              <w:t xml:space="preserve"> and </w:t>
            </w:r>
            <w:proofErr w:type="spellStart"/>
            <w:r>
              <w:rPr>
                <w:rStyle w:val="12"/>
              </w:rPr>
              <w:t>tenofovir</w:t>
            </w:r>
            <w:proofErr w:type="spellEnd"/>
            <w:r>
              <w:rPr>
                <w:rStyle w:val="12"/>
              </w:rPr>
              <w:t xml:space="preserve"> DF </w:t>
            </w:r>
            <w:proofErr w:type="gramStart"/>
            <w:r>
              <w:rPr>
                <w:rStyle w:val="12"/>
              </w:rPr>
              <w:t>has</w:t>
            </w:r>
            <w:proofErr w:type="gramEnd"/>
            <w:r>
              <w:rPr>
                <w:rStyle w:val="12"/>
              </w:rPr>
              <w:t xml:space="preserve"> not been established. </w:t>
            </w:r>
            <w:proofErr w:type="spellStart"/>
            <w:r>
              <w:rPr>
                <w:rStyle w:val="12"/>
              </w:rPr>
              <w:t>Coadministration</w:t>
            </w:r>
            <w:proofErr w:type="spellEnd"/>
            <w:r>
              <w:rPr>
                <w:rStyle w:val="12"/>
              </w:rPr>
              <w:t xml:space="preserve"> is not recommended.</w:t>
            </w:r>
          </w:p>
        </w:tc>
      </w:tr>
      <w:tr w:rsidR="00E12BB4">
        <w:trPr>
          <w:trHeight w:hRule="exact" w:val="1090"/>
          <w:jc w:val="center"/>
        </w:trPr>
        <w:tc>
          <w:tcPr>
            <w:tcW w:w="1598" w:type="dxa"/>
            <w:tcBorders>
              <w:top w:val="single" w:sz="4" w:space="0" w:color="auto"/>
              <w:lef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10" w:lineRule="exact"/>
              <w:ind w:left="120" w:firstLine="0"/>
            </w:pPr>
            <w:proofErr w:type="spellStart"/>
            <w:r>
              <w:rPr>
                <w:rStyle w:val="12"/>
              </w:rPr>
              <w:t>tipranavir</w:t>
            </w:r>
            <w:proofErr w:type="spellEnd"/>
            <w:r>
              <w:rPr>
                <w:rStyle w:val="12"/>
              </w:rPr>
              <w:t>/ritonavir</w:t>
            </w:r>
          </w:p>
        </w:tc>
        <w:tc>
          <w:tcPr>
            <w:tcW w:w="989" w:type="dxa"/>
            <w:tcBorders>
              <w:top w:val="single" w:sz="4" w:space="0" w:color="auto"/>
              <w:lef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44" w:lineRule="exact"/>
              <w:ind w:firstLine="0"/>
              <w:jc w:val="both"/>
            </w:pPr>
            <w:r>
              <w:rPr>
                <w:rStyle w:val="ab"/>
              </w:rPr>
              <w:t xml:space="preserve">4 </w:t>
            </w:r>
            <w:proofErr w:type="spellStart"/>
            <w:r>
              <w:rPr>
                <w:rStyle w:val="12"/>
              </w:rPr>
              <w:t>ledipasvir</w:t>
            </w:r>
            <w:proofErr w:type="spellEnd"/>
            <w:r>
              <w:rPr>
                <w:rStyle w:val="12"/>
              </w:rPr>
              <w:t xml:space="preserve"> </w:t>
            </w:r>
            <w:r>
              <w:rPr>
                <w:rStyle w:val="ab"/>
              </w:rPr>
              <w:t xml:space="preserve">4- </w:t>
            </w:r>
            <w:proofErr w:type="spellStart"/>
            <w:r>
              <w:rPr>
                <w:rStyle w:val="12"/>
              </w:rPr>
              <w:t>sofosbuvir</w:t>
            </w:r>
            <w:proofErr w:type="spellEnd"/>
            <w:r>
              <w:rPr>
                <w:rStyle w:val="12"/>
              </w:rPr>
              <w:t xml:space="preserve"> 4 GS-331007</w:t>
            </w:r>
          </w:p>
        </w:tc>
        <w:tc>
          <w:tcPr>
            <w:tcW w:w="2179"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766" w:wrap="notBeside" w:vAnchor="text" w:hAnchor="text" w:xAlign="center" w:y="1"/>
              <w:shd w:val="clear" w:color="auto" w:fill="auto"/>
              <w:spacing w:after="0" w:line="139" w:lineRule="exact"/>
              <w:ind w:left="60" w:firstLine="0"/>
            </w:pPr>
            <w:proofErr w:type="spellStart"/>
            <w:r>
              <w:rPr>
                <w:rStyle w:val="12"/>
              </w:rPr>
              <w:t>Coadministration</w:t>
            </w:r>
            <w:proofErr w:type="spellEnd"/>
            <w:r>
              <w:rPr>
                <w:rStyle w:val="12"/>
              </w:rPr>
              <w:t xml:space="preserve"> of HEPCINAT-LP with </w:t>
            </w:r>
            <w:proofErr w:type="spellStart"/>
            <w:r>
              <w:rPr>
                <w:rStyle w:val="12"/>
              </w:rPr>
              <w:t>tipranavir</w:t>
            </w:r>
            <w:proofErr w:type="spellEnd"/>
            <w:r>
              <w:rPr>
                <w:rStyle w:val="12"/>
              </w:rPr>
              <w:t xml:space="preserve">/ritonavir is expected to decrease the concentration of </w:t>
            </w:r>
            <w:proofErr w:type="spellStart"/>
            <w:r>
              <w:rPr>
                <w:rStyle w:val="12"/>
              </w:rPr>
              <w:t>ledipasvir</w:t>
            </w:r>
            <w:proofErr w:type="spellEnd"/>
            <w:r>
              <w:rPr>
                <w:rStyle w:val="12"/>
              </w:rPr>
              <w:t xml:space="preserve"> and </w:t>
            </w:r>
            <w:proofErr w:type="spellStart"/>
            <w:r>
              <w:rPr>
                <w:rStyle w:val="12"/>
              </w:rPr>
              <w:t>sofosbuvir</w:t>
            </w:r>
            <w:proofErr w:type="spellEnd"/>
            <w:r>
              <w:rPr>
                <w:rStyle w:val="12"/>
              </w:rPr>
              <w:t xml:space="preserve">, leading to reduced therapeutic effect of HEPCINAT-LP. </w:t>
            </w:r>
            <w:proofErr w:type="spellStart"/>
            <w:r>
              <w:rPr>
                <w:rStyle w:val="12"/>
              </w:rPr>
              <w:t>Coadministration</w:t>
            </w:r>
            <w:proofErr w:type="spellEnd"/>
            <w:r>
              <w:rPr>
                <w:rStyle w:val="12"/>
              </w:rPr>
              <w:t xml:space="preserve"> is not recommended.</w:t>
            </w:r>
          </w:p>
        </w:tc>
      </w:tr>
      <w:tr w:rsidR="00E12BB4">
        <w:trPr>
          <w:trHeight w:hRule="exact" w:val="936"/>
          <w:jc w:val="center"/>
        </w:trPr>
        <w:tc>
          <w:tcPr>
            <w:tcW w:w="1598" w:type="dxa"/>
            <w:tcBorders>
              <w:top w:val="single" w:sz="4" w:space="0" w:color="auto"/>
              <w:lef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10" w:lineRule="exact"/>
              <w:ind w:left="120" w:firstLine="0"/>
            </w:pPr>
            <w:r>
              <w:rPr>
                <w:rStyle w:val="a7"/>
              </w:rPr>
              <w:t>HCV Products:</w:t>
            </w:r>
          </w:p>
          <w:p w:rsidR="00E12BB4" w:rsidRDefault="003A60A2">
            <w:pPr>
              <w:pStyle w:val="2"/>
              <w:framePr w:w="4766" w:wrap="notBeside" w:vAnchor="text" w:hAnchor="text" w:xAlign="center" w:y="1"/>
              <w:shd w:val="clear" w:color="auto" w:fill="auto"/>
              <w:spacing w:after="0" w:line="110" w:lineRule="exact"/>
              <w:ind w:left="120" w:firstLine="0"/>
            </w:pPr>
            <w:r>
              <w:rPr>
                <w:rStyle w:val="12"/>
              </w:rPr>
              <w:t>simeprevir</w:t>
            </w:r>
            <w:r>
              <w:rPr>
                <w:rStyle w:val="12"/>
                <w:vertAlign w:val="superscript"/>
              </w:rPr>
              <w:t>0</w:t>
            </w:r>
          </w:p>
        </w:tc>
        <w:tc>
          <w:tcPr>
            <w:tcW w:w="989" w:type="dxa"/>
            <w:tcBorders>
              <w:top w:val="single" w:sz="4" w:space="0" w:color="auto"/>
              <w:lef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44" w:lineRule="exact"/>
              <w:ind w:left="40" w:firstLine="0"/>
            </w:pPr>
            <w:r>
              <w:rPr>
                <w:rStyle w:val="12"/>
              </w:rPr>
              <w:t xml:space="preserve">T </w:t>
            </w:r>
            <w:proofErr w:type="spellStart"/>
            <w:r>
              <w:rPr>
                <w:rStyle w:val="12"/>
              </w:rPr>
              <w:t>ledipasvir</w:t>
            </w:r>
            <w:proofErr w:type="spellEnd"/>
            <w:r>
              <w:rPr>
                <w:rStyle w:val="12"/>
              </w:rPr>
              <w:t xml:space="preserve"> t </w:t>
            </w:r>
            <w:proofErr w:type="spellStart"/>
            <w:r>
              <w:rPr>
                <w:rStyle w:val="12"/>
              </w:rPr>
              <w:t>simeprevir</w:t>
            </w:r>
            <w:proofErr w:type="spellEnd"/>
          </w:p>
        </w:tc>
        <w:tc>
          <w:tcPr>
            <w:tcW w:w="2179"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766" w:wrap="notBeside" w:vAnchor="text" w:hAnchor="text" w:xAlign="center" w:y="1"/>
              <w:shd w:val="clear" w:color="auto" w:fill="auto"/>
              <w:spacing w:after="0" w:line="139" w:lineRule="exact"/>
              <w:ind w:left="60" w:firstLine="0"/>
            </w:pPr>
            <w:r>
              <w:rPr>
                <w:rStyle w:val="12"/>
              </w:rPr>
              <w:t xml:space="preserve">Concentrations of </w:t>
            </w:r>
            <w:proofErr w:type="spellStart"/>
            <w:r>
              <w:rPr>
                <w:rStyle w:val="12"/>
              </w:rPr>
              <w:t>ledipasvir</w:t>
            </w:r>
            <w:proofErr w:type="spellEnd"/>
            <w:r>
              <w:rPr>
                <w:rStyle w:val="12"/>
              </w:rPr>
              <w:t xml:space="preserve"> and </w:t>
            </w:r>
            <w:proofErr w:type="spellStart"/>
            <w:r>
              <w:rPr>
                <w:rStyle w:val="12"/>
              </w:rPr>
              <w:t>simeprevir</w:t>
            </w:r>
            <w:proofErr w:type="spellEnd"/>
            <w:r>
              <w:rPr>
                <w:rStyle w:val="12"/>
              </w:rPr>
              <w:t xml:space="preserve"> are increased when </w:t>
            </w:r>
            <w:proofErr w:type="spellStart"/>
            <w:r>
              <w:rPr>
                <w:rStyle w:val="12"/>
              </w:rPr>
              <w:t>simeprevir</w:t>
            </w:r>
            <w:proofErr w:type="spellEnd"/>
            <w:r>
              <w:rPr>
                <w:rStyle w:val="12"/>
              </w:rPr>
              <w:t xml:space="preserve"> is </w:t>
            </w:r>
            <w:proofErr w:type="spellStart"/>
            <w:r>
              <w:rPr>
                <w:rStyle w:val="12"/>
              </w:rPr>
              <w:t>coadministered</w:t>
            </w:r>
            <w:proofErr w:type="spellEnd"/>
            <w:r>
              <w:rPr>
                <w:rStyle w:val="12"/>
              </w:rPr>
              <w:t xml:space="preserve"> with </w:t>
            </w:r>
            <w:proofErr w:type="spellStart"/>
            <w:r>
              <w:rPr>
                <w:rStyle w:val="12"/>
              </w:rPr>
              <w:t>ledipasvir</w:t>
            </w:r>
            <w:proofErr w:type="spellEnd"/>
            <w:r>
              <w:rPr>
                <w:rStyle w:val="12"/>
              </w:rPr>
              <w:t xml:space="preserve">. </w:t>
            </w:r>
            <w:proofErr w:type="spellStart"/>
            <w:r>
              <w:rPr>
                <w:rStyle w:val="12"/>
              </w:rPr>
              <w:t>Coadministration</w:t>
            </w:r>
            <w:proofErr w:type="spellEnd"/>
            <w:r>
              <w:rPr>
                <w:rStyle w:val="12"/>
              </w:rPr>
              <w:t xml:space="preserve"> of HEPCINAT-LP with </w:t>
            </w:r>
            <w:proofErr w:type="spellStart"/>
            <w:r>
              <w:rPr>
                <w:rStyle w:val="12"/>
              </w:rPr>
              <w:t>simeprevir</w:t>
            </w:r>
            <w:proofErr w:type="spellEnd"/>
            <w:r>
              <w:rPr>
                <w:rStyle w:val="12"/>
              </w:rPr>
              <w:t xml:space="preserve"> is not recommended.</w:t>
            </w:r>
          </w:p>
        </w:tc>
      </w:tr>
      <w:tr w:rsidR="00E12BB4">
        <w:trPr>
          <w:trHeight w:hRule="exact" w:val="653"/>
          <w:jc w:val="center"/>
        </w:trPr>
        <w:tc>
          <w:tcPr>
            <w:tcW w:w="1598" w:type="dxa"/>
            <w:tcBorders>
              <w:top w:val="single" w:sz="4" w:space="0" w:color="auto"/>
              <w:left w:val="single" w:sz="4" w:space="0" w:color="auto"/>
            </w:tcBorders>
            <w:shd w:val="clear" w:color="auto" w:fill="FFFFFF"/>
            <w:vAlign w:val="center"/>
          </w:tcPr>
          <w:p w:rsidR="00E12BB4" w:rsidRDefault="003A60A2">
            <w:pPr>
              <w:pStyle w:val="2"/>
              <w:framePr w:w="4766" w:wrap="notBeside" w:vAnchor="text" w:hAnchor="text" w:xAlign="center" w:y="1"/>
              <w:shd w:val="clear" w:color="auto" w:fill="auto"/>
              <w:spacing w:after="0" w:line="144" w:lineRule="exact"/>
              <w:ind w:left="120" w:firstLine="0"/>
            </w:pPr>
            <w:r>
              <w:rPr>
                <w:rStyle w:val="a7"/>
              </w:rPr>
              <w:t>Herbal Supplements:</w:t>
            </w:r>
          </w:p>
          <w:p w:rsidR="00E12BB4" w:rsidRDefault="003A60A2">
            <w:pPr>
              <w:pStyle w:val="2"/>
              <w:framePr w:w="4766" w:wrap="notBeside" w:vAnchor="text" w:hAnchor="text" w:xAlign="center" w:y="1"/>
              <w:shd w:val="clear" w:color="auto" w:fill="auto"/>
              <w:spacing w:after="0" w:line="144" w:lineRule="exact"/>
              <w:ind w:left="120" w:firstLine="0"/>
            </w:pPr>
            <w:r>
              <w:rPr>
                <w:rStyle w:val="12"/>
              </w:rPr>
              <w:t xml:space="preserve">St. John's </w:t>
            </w:r>
            <w:proofErr w:type="spellStart"/>
            <w:r>
              <w:rPr>
                <w:rStyle w:val="12"/>
              </w:rPr>
              <w:t>wort</w:t>
            </w:r>
            <w:proofErr w:type="spellEnd"/>
            <w:r>
              <w:rPr>
                <w:rStyle w:val="12"/>
              </w:rPr>
              <w:t xml:space="preserve"> </w:t>
            </w:r>
            <w:r>
              <w:rPr>
                <w:rStyle w:val="aa"/>
              </w:rPr>
              <w:t>(</w:t>
            </w:r>
            <w:proofErr w:type="spellStart"/>
            <w:r>
              <w:rPr>
                <w:rStyle w:val="aa"/>
              </w:rPr>
              <w:t>Hypericum</w:t>
            </w:r>
            <w:proofErr w:type="spellEnd"/>
            <w:r>
              <w:rPr>
                <w:rStyle w:val="aa"/>
              </w:rPr>
              <w:t xml:space="preserve"> </w:t>
            </w:r>
            <w:proofErr w:type="spellStart"/>
            <w:r>
              <w:rPr>
                <w:rStyle w:val="aa"/>
              </w:rPr>
              <w:t>perforatum</w:t>
            </w:r>
            <w:proofErr w:type="spellEnd"/>
            <w:r>
              <w:rPr>
                <w:rStyle w:val="aa"/>
              </w:rPr>
              <w:t>)</w:t>
            </w:r>
          </w:p>
        </w:tc>
        <w:tc>
          <w:tcPr>
            <w:tcW w:w="989" w:type="dxa"/>
            <w:tcBorders>
              <w:top w:val="single" w:sz="4" w:space="0" w:color="auto"/>
              <w:left w:val="single" w:sz="4" w:space="0" w:color="auto"/>
            </w:tcBorders>
            <w:shd w:val="clear" w:color="auto" w:fill="FFFFFF"/>
            <w:vAlign w:val="center"/>
          </w:tcPr>
          <w:p w:rsidR="00E12BB4" w:rsidRDefault="003A60A2">
            <w:pPr>
              <w:pStyle w:val="2"/>
              <w:framePr w:w="4766" w:wrap="notBeside" w:vAnchor="text" w:hAnchor="text" w:xAlign="center" w:y="1"/>
              <w:shd w:val="clear" w:color="auto" w:fill="auto"/>
              <w:spacing w:after="0" w:line="144" w:lineRule="exact"/>
              <w:ind w:firstLine="0"/>
              <w:jc w:val="both"/>
            </w:pPr>
            <w:r>
              <w:rPr>
                <w:rStyle w:val="12"/>
              </w:rPr>
              <w:t xml:space="preserve">- </w:t>
            </w:r>
            <w:proofErr w:type="spellStart"/>
            <w:r>
              <w:rPr>
                <w:rStyle w:val="12"/>
              </w:rPr>
              <w:t>ledipasvir</w:t>
            </w:r>
            <w:proofErr w:type="spellEnd"/>
            <w:r>
              <w:rPr>
                <w:rStyle w:val="12"/>
              </w:rPr>
              <w:t xml:space="preserve"> 4 </w:t>
            </w:r>
            <w:proofErr w:type="spellStart"/>
            <w:r>
              <w:rPr>
                <w:rStyle w:val="12"/>
              </w:rPr>
              <w:t>sofosbuvir</w:t>
            </w:r>
            <w:proofErr w:type="spellEnd"/>
            <w:r>
              <w:rPr>
                <w:rStyle w:val="12"/>
              </w:rPr>
              <w:t xml:space="preserve"> 4 GS-331007</w:t>
            </w:r>
          </w:p>
        </w:tc>
        <w:tc>
          <w:tcPr>
            <w:tcW w:w="2179" w:type="dxa"/>
            <w:tcBorders>
              <w:top w:val="single" w:sz="4" w:space="0" w:color="auto"/>
              <w:left w:val="single" w:sz="4" w:space="0" w:color="auto"/>
              <w:right w:val="single" w:sz="4" w:space="0" w:color="auto"/>
            </w:tcBorders>
            <w:shd w:val="clear" w:color="auto" w:fill="FFFFFF"/>
            <w:vAlign w:val="center"/>
          </w:tcPr>
          <w:p w:rsidR="00E12BB4" w:rsidRDefault="003A60A2">
            <w:pPr>
              <w:pStyle w:val="2"/>
              <w:framePr w:w="4766" w:wrap="notBeside" w:vAnchor="text" w:hAnchor="text" w:xAlign="center" w:y="1"/>
              <w:shd w:val="clear" w:color="auto" w:fill="auto"/>
              <w:spacing w:after="0" w:line="144" w:lineRule="exact"/>
              <w:ind w:left="60" w:firstLine="0"/>
            </w:pPr>
            <w:proofErr w:type="spellStart"/>
            <w:r>
              <w:rPr>
                <w:rStyle w:val="12"/>
              </w:rPr>
              <w:t>Coadministration</w:t>
            </w:r>
            <w:proofErr w:type="spellEnd"/>
            <w:r>
              <w:rPr>
                <w:rStyle w:val="12"/>
              </w:rPr>
              <w:t xml:space="preserve"> of HEPCINAT-LP</w:t>
            </w:r>
          </w:p>
          <w:p w:rsidR="00E12BB4" w:rsidRDefault="003A60A2">
            <w:pPr>
              <w:pStyle w:val="2"/>
              <w:framePr w:w="4766" w:wrap="notBeside" w:vAnchor="text" w:hAnchor="text" w:xAlign="center" w:y="1"/>
              <w:shd w:val="clear" w:color="auto" w:fill="auto"/>
              <w:spacing w:after="0" w:line="144" w:lineRule="exact"/>
              <w:ind w:left="60" w:firstLine="0"/>
            </w:pPr>
            <w:proofErr w:type="gramStart"/>
            <w:r>
              <w:rPr>
                <w:rStyle w:val="12"/>
              </w:rPr>
              <w:t>with</w:t>
            </w:r>
            <w:proofErr w:type="gramEnd"/>
            <w:r>
              <w:rPr>
                <w:rStyle w:val="12"/>
              </w:rPr>
              <w:t xml:space="preserve"> St. John’s </w:t>
            </w:r>
            <w:proofErr w:type="spellStart"/>
            <w:r>
              <w:rPr>
                <w:rStyle w:val="12"/>
              </w:rPr>
              <w:t>wort</w:t>
            </w:r>
            <w:proofErr w:type="spellEnd"/>
            <w:r>
              <w:rPr>
                <w:rStyle w:val="12"/>
              </w:rPr>
              <w:t>, a P-</w:t>
            </w:r>
            <w:proofErr w:type="spellStart"/>
            <w:r>
              <w:rPr>
                <w:rStyle w:val="12"/>
              </w:rPr>
              <w:t>gp</w:t>
            </w:r>
            <w:proofErr w:type="spellEnd"/>
            <w:r>
              <w:rPr>
                <w:rStyle w:val="12"/>
              </w:rPr>
              <w:t xml:space="preserve"> inducer is not recommended.</w:t>
            </w:r>
          </w:p>
        </w:tc>
      </w:tr>
      <w:tr w:rsidR="00E12BB4">
        <w:trPr>
          <w:trHeight w:hRule="exact" w:val="1248"/>
          <w:jc w:val="center"/>
        </w:trPr>
        <w:tc>
          <w:tcPr>
            <w:tcW w:w="1598" w:type="dxa"/>
            <w:tcBorders>
              <w:top w:val="single" w:sz="4" w:space="0" w:color="auto"/>
              <w:left w:val="single" w:sz="4" w:space="0" w:color="auto"/>
              <w:bottom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44" w:lineRule="exact"/>
              <w:ind w:left="120" w:firstLine="0"/>
            </w:pPr>
            <w:r>
              <w:rPr>
                <w:rStyle w:val="a7"/>
              </w:rPr>
              <w:t xml:space="preserve">HMG-CoA </w:t>
            </w:r>
            <w:proofErr w:type="spellStart"/>
            <w:r>
              <w:rPr>
                <w:rStyle w:val="a7"/>
              </w:rPr>
              <w:t>Reductase</w:t>
            </w:r>
            <w:proofErr w:type="spellEnd"/>
            <w:r>
              <w:rPr>
                <w:rStyle w:val="a7"/>
              </w:rPr>
              <w:t xml:space="preserve"> Inhibitors:</w:t>
            </w:r>
          </w:p>
          <w:p w:rsidR="00E12BB4" w:rsidRDefault="003A60A2">
            <w:pPr>
              <w:pStyle w:val="2"/>
              <w:framePr w:w="4766" w:wrap="notBeside" w:vAnchor="text" w:hAnchor="text" w:xAlign="center" w:y="1"/>
              <w:shd w:val="clear" w:color="auto" w:fill="auto"/>
              <w:spacing w:after="0" w:line="144" w:lineRule="exact"/>
              <w:ind w:left="120" w:firstLine="0"/>
            </w:pPr>
            <w:proofErr w:type="spellStart"/>
            <w:r>
              <w:rPr>
                <w:rStyle w:val="12"/>
              </w:rPr>
              <w:t>rosuvastatin</w:t>
            </w:r>
            <w:proofErr w:type="spellEnd"/>
          </w:p>
        </w:tc>
        <w:tc>
          <w:tcPr>
            <w:tcW w:w="989" w:type="dxa"/>
            <w:tcBorders>
              <w:top w:val="single" w:sz="4" w:space="0" w:color="auto"/>
              <w:left w:val="single" w:sz="4" w:space="0" w:color="auto"/>
              <w:bottom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10" w:lineRule="exact"/>
              <w:ind w:firstLine="0"/>
              <w:jc w:val="both"/>
            </w:pPr>
            <w:r>
              <w:rPr>
                <w:rStyle w:val="12"/>
              </w:rPr>
              <w:t xml:space="preserve">t </w:t>
            </w:r>
            <w:proofErr w:type="spellStart"/>
            <w:r>
              <w:rPr>
                <w:rStyle w:val="12"/>
              </w:rPr>
              <w:t>rosuvastatin</w:t>
            </w:r>
            <w:proofErr w:type="spellEnd"/>
          </w:p>
        </w:tc>
        <w:tc>
          <w:tcPr>
            <w:tcW w:w="2179" w:type="dxa"/>
            <w:tcBorders>
              <w:top w:val="single" w:sz="4" w:space="0" w:color="auto"/>
              <w:left w:val="single" w:sz="4" w:space="0" w:color="auto"/>
              <w:bottom w:val="single" w:sz="4" w:space="0" w:color="auto"/>
              <w:right w:val="single" w:sz="4" w:space="0" w:color="auto"/>
            </w:tcBorders>
            <w:shd w:val="clear" w:color="auto" w:fill="FFFFFF"/>
          </w:tcPr>
          <w:p w:rsidR="00E12BB4" w:rsidRDefault="003A60A2">
            <w:pPr>
              <w:pStyle w:val="2"/>
              <w:framePr w:w="4766" w:wrap="notBeside" w:vAnchor="text" w:hAnchor="text" w:xAlign="center" w:y="1"/>
              <w:shd w:val="clear" w:color="auto" w:fill="auto"/>
              <w:spacing w:after="0" w:line="139" w:lineRule="exact"/>
              <w:ind w:left="60" w:firstLine="0"/>
            </w:pPr>
            <w:proofErr w:type="spellStart"/>
            <w:r>
              <w:rPr>
                <w:rStyle w:val="12"/>
              </w:rPr>
              <w:t>Coadministration</w:t>
            </w:r>
            <w:proofErr w:type="spellEnd"/>
            <w:r>
              <w:rPr>
                <w:rStyle w:val="12"/>
              </w:rPr>
              <w:t xml:space="preserve"> of HEPCINAT-LP with </w:t>
            </w:r>
            <w:proofErr w:type="spellStart"/>
            <w:r>
              <w:rPr>
                <w:rStyle w:val="12"/>
              </w:rPr>
              <w:t>rosuvastatin</w:t>
            </w:r>
            <w:proofErr w:type="spellEnd"/>
            <w:r>
              <w:rPr>
                <w:rStyle w:val="12"/>
              </w:rPr>
              <w:t xml:space="preserve"> may significant</w:t>
            </w:r>
            <w:r>
              <w:rPr>
                <w:rStyle w:val="12"/>
              </w:rPr>
              <w:softHyphen/>
              <w:t xml:space="preserve">ly increase the concentration of </w:t>
            </w:r>
            <w:proofErr w:type="spellStart"/>
            <w:r>
              <w:rPr>
                <w:rStyle w:val="12"/>
              </w:rPr>
              <w:t>rosuvastatin</w:t>
            </w:r>
            <w:proofErr w:type="spellEnd"/>
            <w:r>
              <w:rPr>
                <w:rStyle w:val="12"/>
              </w:rPr>
              <w:t xml:space="preserve"> which is associated with increased risk of myopathy, including </w:t>
            </w:r>
            <w:proofErr w:type="spellStart"/>
            <w:r>
              <w:rPr>
                <w:rStyle w:val="12"/>
              </w:rPr>
              <w:t>rtiabdornyolysis</w:t>
            </w:r>
            <w:proofErr w:type="spellEnd"/>
            <w:r>
              <w:rPr>
                <w:rStyle w:val="12"/>
              </w:rPr>
              <w:t xml:space="preserve">. </w:t>
            </w:r>
            <w:proofErr w:type="spellStart"/>
            <w:r>
              <w:rPr>
                <w:rStyle w:val="12"/>
              </w:rPr>
              <w:t>Coadministration</w:t>
            </w:r>
            <w:proofErr w:type="spellEnd"/>
            <w:r>
              <w:rPr>
                <w:rStyle w:val="12"/>
              </w:rPr>
              <w:t xml:space="preserve"> of HEPCINAT-LP with </w:t>
            </w:r>
            <w:proofErr w:type="spellStart"/>
            <w:r>
              <w:rPr>
                <w:rStyle w:val="12"/>
              </w:rPr>
              <w:t>rosuvastatin</w:t>
            </w:r>
            <w:proofErr w:type="spellEnd"/>
            <w:r>
              <w:rPr>
                <w:rStyle w:val="12"/>
              </w:rPr>
              <w:t xml:space="preserve"> is not recommended.</w:t>
            </w:r>
          </w:p>
        </w:tc>
      </w:tr>
    </w:tbl>
    <w:p w:rsidR="00E12BB4" w:rsidRDefault="003A60A2">
      <w:pPr>
        <w:pStyle w:val="26"/>
        <w:framePr w:w="4766" w:wrap="notBeside" w:vAnchor="text" w:hAnchor="text" w:xAlign="center" w:y="1"/>
        <w:numPr>
          <w:ilvl w:val="0"/>
          <w:numId w:val="12"/>
        </w:numPr>
        <w:shd w:val="clear" w:color="auto" w:fill="auto"/>
      </w:pPr>
      <w:r>
        <w:t xml:space="preserve"> This table is not all inclusive.</w:t>
      </w:r>
    </w:p>
    <w:p w:rsidR="00E12BB4" w:rsidRDefault="003A60A2">
      <w:pPr>
        <w:pStyle w:val="26"/>
        <w:framePr w:w="4766" w:wrap="notBeside" w:vAnchor="text" w:hAnchor="text" w:xAlign="center" w:y="1"/>
        <w:numPr>
          <w:ilvl w:val="0"/>
          <w:numId w:val="12"/>
        </w:numPr>
        <w:shd w:val="clear" w:color="auto" w:fill="auto"/>
      </w:pPr>
      <w:r>
        <w:t>4 = decrease, t = increase</w:t>
      </w:r>
    </w:p>
    <w:p w:rsidR="00E12BB4" w:rsidRDefault="003A60A2">
      <w:pPr>
        <w:pStyle w:val="26"/>
        <w:framePr w:w="4766" w:wrap="notBeside" w:vAnchor="text" w:hAnchor="text" w:xAlign="center" w:y="1"/>
        <w:numPr>
          <w:ilvl w:val="0"/>
          <w:numId w:val="12"/>
        </w:numPr>
        <w:shd w:val="clear" w:color="auto" w:fill="auto"/>
      </w:pPr>
      <w:r>
        <w:t xml:space="preserve"> These interactions have been studied in healthy adults.</w:t>
      </w:r>
    </w:p>
    <w:p w:rsidR="00E12BB4" w:rsidRDefault="00E12BB4">
      <w:pPr>
        <w:rPr>
          <w:sz w:val="2"/>
          <w:szCs w:val="2"/>
        </w:rPr>
      </w:pPr>
    </w:p>
    <w:p w:rsidR="00E12BB4" w:rsidRDefault="003A60A2">
      <w:pPr>
        <w:pStyle w:val="23"/>
        <w:numPr>
          <w:ilvl w:val="0"/>
          <w:numId w:val="11"/>
        </w:numPr>
        <w:shd w:val="clear" w:color="auto" w:fill="auto"/>
        <w:tabs>
          <w:tab w:val="left" w:pos="511"/>
        </w:tabs>
        <w:spacing w:before="0" w:line="110" w:lineRule="exact"/>
        <w:ind w:left="160"/>
      </w:pPr>
      <w:r>
        <w:t>Drugs without Clinically Significant Interactions with HEPCINAT-LP</w:t>
      </w:r>
    </w:p>
    <w:p w:rsidR="00E12BB4" w:rsidRDefault="003A60A2">
      <w:pPr>
        <w:pStyle w:val="2"/>
        <w:shd w:val="clear" w:color="auto" w:fill="auto"/>
        <w:spacing w:after="0" w:line="139" w:lineRule="exact"/>
        <w:ind w:right="80" w:firstLine="0"/>
      </w:pPr>
      <w:r>
        <w:t xml:space="preserve">- Based on drug interaction studies conducted with Individual drugs </w:t>
      </w:r>
      <w:proofErr w:type="spellStart"/>
      <w:r>
        <w:t>Ledipasvir</w:t>
      </w:r>
      <w:proofErr w:type="spellEnd"/>
      <w:r>
        <w:t xml:space="preserve"> or </w:t>
      </w:r>
      <w:proofErr w:type="spellStart"/>
      <w:r>
        <w:t>Sofos</w:t>
      </w:r>
      <w:r>
        <w:softHyphen/>
        <w:t>buvir</w:t>
      </w:r>
      <w:proofErr w:type="spellEnd"/>
      <w:r>
        <w:t xml:space="preserve"> or combination of </w:t>
      </w:r>
      <w:proofErr w:type="spellStart"/>
      <w:r>
        <w:t>Ledipasvir</w:t>
      </w:r>
      <w:proofErr w:type="spellEnd"/>
      <w:r>
        <w:t xml:space="preserve"> + </w:t>
      </w:r>
      <w:proofErr w:type="spellStart"/>
      <w:r>
        <w:t>Sofosbuvir</w:t>
      </w:r>
      <w:proofErr w:type="spellEnd"/>
      <w:r>
        <w:t xml:space="preserve">, no clinically significant drug interactions have either been observed or are expected when </w:t>
      </w:r>
      <w:proofErr w:type="spellStart"/>
      <w:r>
        <w:t>Ledipasvir</w:t>
      </w:r>
      <w:proofErr w:type="spellEnd"/>
      <w:r>
        <w:t xml:space="preserve"> + </w:t>
      </w:r>
      <w:proofErr w:type="spellStart"/>
      <w:r>
        <w:t>Sofosbuvir</w:t>
      </w:r>
      <w:proofErr w:type="spellEnd"/>
      <w:r>
        <w:t xml:space="preserve"> is used with the following drugs individually: </w:t>
      </w:r>
      <w:proofErr w:type="spellStart"/>
      <w:r>
        <w:t>abacavlr</w:t>
      </w:r>
      <w:proofErr w:type="spellEnd"/>
      <w:r>
        <w:t xml:space="preserve">, </w:t>
      </w:r>
      <w:proofErr w:type="spellStart"/>
      <w:r>
        <w:t>atazanavir</w:t>
      </w:r>
      <w:proofErr w:type="spellEnd"/>
      <w:r>
        <w:t xml:space="preserve">/ritonavir, cyclosporine, </w:t>
      </w:r>
      <w:proofErr w:type="spellStart"/>
      <w:r>
        <w:t>darunavir</w:t>
      </w:r>
      <w:proofErr w:type="spellEnd"/>
      <w:r>
        <w:t xml:space="preserve">/ ritonavir, </w:t>
      </w:r>
      <w:proofErr w:type="spellStart"/>
      <w:r>
        <w:t>efavirenz</w:t>
      </w:r>
      <w:proofErr w:type="spellEnd"/>
      <w:r>
        <w:t xml:space="preserve">. </w:t>
      </w:r>
      <w:proofErr w:type="spellStart"/>
      <w:proofErr w:type="gramStart"/>
      <w:r>
        <w:t>emtricttabine</w:t>
      </w:r>
      <w:proofErr w:type="spellEnd"/>
      <w:proofErr w:type="gramEnd"/>
      <w:r>
        <w:t>, lamivudine, methadone, oral contraceptives, pravas</w:t>
      </w:r>
      <w:r>
        <w:softHyphen/>
        <w:t xml:space="preserve">tatin, </w:t>
      </w:r>
      <w:proofErr w:type="spellStart"/>
      <w:r>
        <w:t>raftegravir</w:t>
      </w:r>
      <w:proofErr w:type="spellEnd"/>
      <w:r>
        <w:t xml:space="preserve">, </w:t>
      </w:r>
      <w:proofErr w:type="spellStart"/>
      <w:r>
        <w:t>nlpivirine</w:t>
      </w:r>
      <w:proofErr w:type="spellEnd"/>
      <w:r>
        <w:t xml:space="preserve">, </w:t>
      </w:r>
      <w:proofErr w:type="spellStart"/>
      <w:r>
        <w:t>tacrolimus</w:t>
      </w:r>
      <w:proofErr w:type="spellEnd"/>
      <w:r>
        <w:t xml:space="preserve">, </w:t>
      </w:r>
      <w:proofErr w:type="spellStart"/>
      <w:r>
        <w:t>tenofovir</w:t>
      </w:r>
      <w:proofErr w:type="spellEnd"/>
      <w:r>
        <w:t xml:space="preserve"> </w:t>
      </w:r>
      <w:proofErr w:type="spellStart"/>
      <w:r>
        <w:t>disoproxil</w:t>
      </w:r>
      <w:proofErr w:type="spellEnd"/>
      <w:r>
        <w:t xml:space="preserve"> </w:t>
      </w:r>
      <w:proofErr w:type="spellStart"/>
      <w:r>
        <w:t>fumarate</w:t>
      </w:r>
      <w:proofErr w:type="spellEnd"/>
      <w:r>
        <w:t xml:space="preserve">, or verapamil. See </w:t>
      </w:r>
      <w:proofErr w:type="spellStart"/>
      <w:r>
        <w:t>Tab</w:t>
      </w:r>
      <w:proofErr w:type="gramStart"/>
      <w:r>
        <w:rPr>
          <w:vertAlign w:val="superscript"/>
        </w:rPr>
        <w:t>;</w:t>
      </w:r>
      <w:r>
        <w:t>e</w:t>
      </w:r>
      <w:proofErr w:type="spellEnd"/>
      <w:proofErr w:type="gramEnd"/>
      <w:r>
        <w:t xml:space="preserve"> 3 for use of HEPCINAT-LP with certain HIV antiretroviral regimens.</w:t>
      </w:r>
    </w:p>
    <w:p w:rsidR="00E12BB4" w:rsidRDefault="003A60A2">
      <w:pPr>
        <w:pStyle w:val="23"/>
        <w:numPr>
          <w:ilvl w:val="0"/>
          <w:numId w:val="14"/>
        </w:numPr>
        <w:shd w:val="clear" w:color="auto" w:fill="auto"/>
        <w:spacing w:before="0" w:line="144" w:lineRule="exact"/>
        <w:ind w:left="160"/>
      </w:pPr>
      <w:r>
        <w:rPr>
          <w:rStyle w:val="24"/>
        </w:rPr>
        <w:t xml:space="preserve"> </w:t>
      </w:r>
      <w:r>
        <w:t>USE IN SPECIFIC POPULATIONS</w:t>
      </w:r>
    </w:p>
    <w:p w:rsidR="00E12BB4" w:rsidRDefault="003A60A2">
      <w:pPr>
        <w:pStyle w:val="23"/>
        <w:numPr>
          <w:ilvl w:val="0"/>
          <w:numId w:val="14"/>
        </w:numPr>
        <w:shd w:val="clear" w:color="auto" w:fill="auto"/>
        <w:spacing w:before="0" w:line="144" w:lineRule="exact"/>
        <w:ind w:left="160" w:right="2600"/>
        <w:jc w:val="left"/>
      </w:pPr>
      <w:r>
        <w:rPr>
          <w:rStyle w:val="24"/>
        </w:rPr>
        <w:t xml:space="preserve"> </w:t>
      </w:r>
      <w:r>
        <w:t xml:space="preserve">Pregnancy </w:t>
      </w:r>
      <w:proofErr w:type="spellStart"/>
      <w:r>
        <w:t>Pregnancy</w:t>
      </w:r>
      <w:proofErr w:type="spellEnd"/>
      <w:r>
        <w:t xml:space="preserve"> Category </w:t>
      </w:r>
      <w:r>
        <w:rPr>
          <w:lang w:val="ru-RU" w:eastAsia="ru-RU" w:bidi="ru-RU"/>
        </w:rPr>
        <w:t>В</w:t>
      </w:r>
    </w:p>
    <w:p w:rsidR="00E12BB4" w:rsidRDefault="003A60A2">
      <w:pPr>
        <w:pStyle w:val="2"/>
        <w:shd w:val="clear" w:color="auto" w:fill="auto"/>
        <w:spacing w:after="0" w:line="144" w:lineRule="exact"/>
        <w:ind w:left="160" w:right="80" w:firstLine="0"/>
        <w:jc w:val="both"/>
      </w:pPr>
      <w:r>
        <w:t xml:space="preserve">There are no adequate and well-controlled studies with </w:t>
      </w:r>
      <w:proofErr w:type="spellStart"/>
      <w:r>
        <w:t>Ledipasvir</w:t>
      </w:r>
      <w:proofErr w:type="spellEnd"/>
      <w:r>
        <w:t xml:space="preserve"> + </w:t>
      </w:r>
      <w:proofErr w:type="spellStart"/>
      <w:r>
        <w:t>Sofosbuvir</w:t>
      </w:r>
      <w:proofErr w:type="spellEnd"/>
      <w:r>
        <w:t xml:space="preserve"> in preg</w:t>
      </w:r>
      <w:r>
        <w:softHyphen/>
        <w:t>nant women.</w:t>
      </w:r>
    </w:p>
    <w:p w:rsidR="00E12BB4" w:rsidRDefault="003A60A2">
      <w:pPr>
        <w:pStyle w:val="2"/>
        <w:numPr>
          <w:ilvl w:val="0"/>
          <w:numId w:val="14"/>
        </w:numPr>
        <w:shd w:val="clear" w:color="auto" w:fill="auto"/>
        <w:spacing w:after="0" w:line="139" w:lineRule="exact"/>
        <w:ind w:left="160" w:right="80" w:firstLine="0"/>
      </w:pPr>
      <w:r>
        <w:t xml:space="preserve"> </w:t>
      </w:r>
      <w:r>
        <w:rPr>
          <w:rStyle w:val="a6"/>
        </w:rPr>
        <w:t xml:space="preserve">Animal Data </w:t>
      </w:r>
      <w:proofErr w:type="spellStart"/>
      <w:r>
        <w:t>Ledipasvir</w:t>
      </w:r>
      <w:proofErr w:type="spellEnd"/>
      <w:r>
        <w:t>:</w:t>
      </w:r>
    </w:p>
    <w:p w:rsidR="00E12BB4" w:rsidRDefault="003A60A2">
      <w:pPr>
        <w:pStyle w:val="2"/>
        <w:shd w:val="clear" w:color="auto" w:fill="auto"/>
        <w:spacing w:after="0" w:line="139" w:lineRule="exact"/>
        <w:ind w:left="160" w:right="80" w:firstLine="0"/>
        <w:jc w:val="both"/>
      </w:pPr>
      <w:r>
        <w:t xml:space="preserve">No effects on fetal development have been observed in rats and rabbits at the highest doses tested. In the rat and rabbit, AUC exposure to </w:t>
      </w:r>
      <w:proofErr w:type="spellStart"/>
      <w:r>
        <w:t>ledipasvir</w:t>
      </w:r>
      <w:proofErr w:type="spellEnd"/>
      <w:r>
        <w:t xml:space="preserve"> was approximately 4-and 2-fold, the exposure in humans at the recommended clinical dose.</w:t>
      </w:r>
    </w:p>
    <w:p w:rsidR="00E12BB4" w:rsidRDefault="003A60A2">
      <w:pPr>
        <w:pStyle w:val="2"/>
        <w:shd w:val="clear" w:color="auto" w:fill="auto"/>
        <w:spacing w:after="0" w:line="139" w:lineRule="exact"/>
        <w:ind w:left="160" w:firstLine="0"/>
        <w:jc w:val="both"/>
      </w:pPr>
      <w:proofErr w:type="spellStart"/>
      <w:r>
        <w:t>Sofosbuvir</w:t>
      </w:r>
      <w:proofErr w:type="spellEnd"/>
      <w:r>
        <w:t>:</w:t>
      </w:r>
    </w:p>
    <w:p w:rsidR="00E12BB4" w:rsidRDefault="003A60A2">
      <w:pPr>
        <w:pStyle w:val="2"/>
        <w:shd w:val="clear" w:color="auto" w:fill="auto"/>
        <w:spacing w:after="0" w:line="139" w:lineRule="exact"/>
        <w:ind w:left="160" w:right="80" w:firstLine="0"/>
        <w:jc w:val="both"/>
      </w:pPr>
      <w:r>
        <w:rPr>
          <w:rStyle w:val="a6"/>
        </w:rPr>
        <w:t xml:space="preserve">No </w:t>
      </w:r>
      <w:r>
        <w:t xml:space="preserve">effects on fetal development have been observed </w:t>
      </w:r>
      <w:proofErr w:type="gramStart"/>
      <w:r>
        <w:t>In</w:t>
      </w:r>
      <w:proofErr w:type="gramEnd"/>
      <w:r>
        <w:t xml:space="preserve"> rats </w:t>
      </w:r>
      <w:r>
        <w:rPr>
          <w:rStyle w:val="a6"/>
        </w:rPr>
        <w:t xml:space="preserve">and </w:t>
      </w:r>
      <w:r>
        <w:t xml:space="preserve">rabbits </w:t>
      </w:r>
      <w:r>
        <w:rPr>
          <w:rStyle w:val="a6"/>
        </w:rPr>
        <w:t xml:space="preserve">at </w:t>
      </w:r>
      <w:r>
        <w:t>the highest doses tested. In the rat and rabbit, AUC exposure to the predominant circulating metab</w:t>
      </w:r>
      <w:r>
        <w:softHyphen/>
        <w:t>olite GS-331007 increased over the course of gestation from approximately 3-to 6-fold and 7-to 17-fold the exposure in humans at the recommended clinical dose.</w:t>
      </w:r>
    </w:p>
    <w:p w:rsidR="00E12BB4" w:rsidRDefault="003A60A2">
      <w:pPr>
        <w:pStyle w:val="23"/>
        <w:numPr>
          <w:ilvl w:val="0"/>
          <w:numId w:val="14"/>
        </w:numPr>
        <w:shd w:val="clear" w:color="auto" w:fill="auto"/>
        <w:spacing w:before="0" w:line="144" w:lineRule="exact"/>
        <w:ind w:left="160"/>
      </w:pPr>
      <w:r>
        <w:rPr>
          <w:rStyle w:val="24"/>
        </w:rPr>
        <w:t xml:space="preserve"> </w:t>
      </w:r>
      <w:r>
        <w:t>Nursing Mothers</w:t>
      </w:r>
    </w:p>
    <w:p w:rsidR="00E12BB4" w:rsidRDefault="003A60A2">
      <w:pPr>
        <w:pStyle w:val="2"/>
        <w:shd w:val="clear" w:color="auto" w:fill="auto"/>
        <w:spacing w:after="0" w:line="144" w:lineRule="exact"/>
        <w:ind w:left="160" w:right="80" w:firstLine="0"/>
        <w:jc w:val="both"/>
      </w:pPr>
      <w:r>
        <w:t xml:space="preserve">It is unknown whether </w:t>
      </w:r>
      <w:proofErr w:type="spellStart"/>
      <w:r>
        <w:t>Ledipasvir</w:t>
      </w:r>
      <w:proofErr w:type="spellEnd"/>
      <w:r>
        <w:t xml:space="preserve"> + </w:t>
      </w:r>
      <w:proofErr w:type="spellStart"/>
      <w:r>
        <w:t>Sofosbuvir</w:t>
      </w:r>
      <w:proofErr w:type="spellEnd"/>
      <w:r>
        <w:t xml:space="preserve"> and its metabolites are present in human breast milk. When administered to lactating rats, </w:t>
      </w:r>
      <w:proofErr w:type="spellStart"/>
      <w:r>
        <w:t>ledipasvir</w:t>
      </w:r>
      <w:proofErr w:type="spellEnd"/>
      <w:r>
        <w:t xml:space="preserve"> was detected in the plasma of suckling rats likely due to the presence of </w:t>
      </w:r>
      <w:proofErr w:type="spellStart"/>
      <w:r>
        <w:t>ledipasvir</w:t>
      </w:r>
      <w:proofErr w:type="spellEnd"/>
      <w:r>
        <w:t xml:space="preserve"> in milk. </w:t>
      </w:r>
      <w:proofErr w:type="spellStart"/>
      <w:r>
        <w:t>Ledipasvir</w:t>
      </w:r>
      <w:proofErr w:type="spellEnd"/>
      <w:r>
        <w:t xml:space="preserve"> had no clear effects on the nursing pups. The predominant circulating metabolite of </w:t>
      </w:r>
      <w:proofErr w:type="spellStart"/>
      <w:r>
        <w:t>sofosbuvir</w:t>
      </w:r>
      <w:proofErr w:type="spellEnd"/>
      <w:r>
        <w:t xml:space="preserve"> (GS- 331007) was the primary component observed in the milk of lactating rats, without effect on nursing pups. The developmental and health benefits of breastfeeding should be considered along with the mother’s clinical need for HEPCINAT-LP and any potential adverse effects on the breastfed child from the drug or from the underlying maternal condition.</w:t>
      </w:r>
    </w:p>
    <w:p w:rsidR="00E12BB4" w:rsidRDefault="003A60A2">
      <w:pPr>
        <w:pStyle w:val="23"/>
        <w:numPr>
          <w:ilvl w:val="0"/>
          <w:numId w:val="14"/>
        </w:numPr>
        <w:shd w:val="clear" w:color="auto" w:fill="auto"/>
        <w:spacing w:before="0" w:line="110" w:lineRule="exact"/>
        <w:ind w:left="160"/>
      </w:pPr>
      <w:r>
        <w:t xml:space="preserve"> Pediatric Use</w:t>
      </w:r>
    </w:p>
    <w:p w:rsidR="00E12BB4" w:rsidRDefault="003A60A2">
      <w:pPr>
        <w:pStyle w:val="2"/>
        <w:shd w:val="clear" w:color="auto" w:fill="auto"/>
        <w:spacing w:after="0" w:line="154" w:lineRule="exact"/>
        <w:ind w:left="160" w:right="80" w:firstLine="0"/>
        <w:jc w:val="both"/>
      </w:pPr>
      <w:r>
        <w:t>Safety and effectiveness of HEPCINAT-LP have not been established in pediatric pa</w:t>
      </w:r>
      <w:r>
        <w:softHyphen/>
        <w:t>tients.</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70"/>
        <w:gridCol w:w="989"/>
        <w:gridCol w:w="2136"/>
      </w:tblGrid>
      <w:tr w:rsidR="00E12BB4">
        <w:trPr>
          <w:trHeight w:hRule="exact" w:val="307"/>
          <w:jc w:val="center"/>
        </w:trPr>
        <w:tc>
          <w:tcPr>
            <w:tcW w:w="1570" w:type="dxa"/>
            <w:tcBorders>
              <w:top w:val="single" w:sz="4" w:space="0" w:color="auto"/>
              <w:left w:val="single" w:sz="4" w:space="0" w:color="auto"/>
            </w:tcBorders>
            <w:shd w:val="clear" w:color="auto" w:fill="FFFFFF"/>
            <w:vAlign w:val="center"/>
          </w:tcPr>
          <w:p w:rsidR="00E12BB4" w:rsidRDefault="003A60A2">
            <w:pPr>
              <w:pStyle w:val="2"/>
              <w:framePr w:w="4694" w:wrap="notBeside" w:vAnchor="text" w:hAnchor="text" w:xAlign="center" w:y="1"/>
              <w:shd w:val="clear" w:color="auto" w:fill="auto"/>
              <w:spacing w:after="0" w:line="110" w:lineRule="exact"/>
              <w:ind w:firstLine="0"/>
              <w:jc w:val="center"/>
            </w:pPr>
            <w:r>
              <w:rPr>
                <w:rStyle w:val="a7"/>
              </w:rPr>
              <w:lastRenderedPageBreak/>
              <w:t>Class: Drug Name</w:t>
            </w:r>
          </w:p>
        </w:tc>
        <w:tc>
          <w:tcPr>
            <w:tcW w:w="989" w:type="dxa"/>
            <w:tcBorders>
              <w:top w:val="single" w:sz="4" w:space="0" w:color="auto"/>
              <w:left w:val="single" w:sz="4" w:space="0" w:color="auto"/>
            </w:tcBorders>
            <w:shd w:val="clear" w:color="auto" w:fill="FFFFFF"/>
            <w:vAlign w:val="center"/>
          </w:tcPr>
          <w:p w:rsidR="00E12BB4" w:rsidRDefault="003A60A2">
            <w:pPr>
              <w:pStyle w:val="2"/>
              <w:framePr w:w="4694" w:wrap="notBeside" w:vAnchor="text" w:hAnchor="text" w:xAlign="center" w:y="1"/>
              <w:shd w:val="clear" w:color="auto" w:fill="auto"/>
              <w:spacing w:after="0" w:line="110" w:lineRule="exact"/>
              <w:ind w:right="160" w:firstLine="0"/>
              <w:jc w:val="right"/>
            </w:pPr>
            <w:r>
              <w:rPr>
                <w:rStyle w:val="a7"/>
              </w:rPr>
              <w:t>centration</w:t>
            </w:r>
            <w:r>
              <w:rPr>
                <w:rStyle w:val="a7"/>
                <w:vertAlign w:val="superscript"/>
              </w:rPr>
              <w:t>6</w:t>
            </w:r>
          </w:p>
        </w:tc>
        <w:tc>
          <w:tcPr>
            <w:tcW w:w="2136" w:type="dxa"/>
            <w:tcBorders>
              <w:top w:val="single" w:sz="4" w:space="0" w:color="auto"/>
              <w:left w:val="single" w:sz="4" w:space="0" w:color="auto"/>
              <w:right w:val="single" w:sz="4" w:space="0" w:color="auto"/>
            </w:tcBorders>
            <w:shd w:val="clear" w:color="auto" w:fill="FFFFFF"/>
          </w:tcPr>
          <w:p w:rsidR="00E12BB4" w:rsidRDefault="00E12BB4">
            <w:pPr>
              <w:framePr w:w="4694" w:wrap="notBeside" w:vAnchor="text" w:hAnchor="text" w:xAlign="center" w:y="1"/>
              <w:rPr>
                <w:sz w:val="10"/>
                <w:szCs w:val="10"/>
              </w:rPr>
            </w:pPr>
          </w:p>
        </w:tc>
      </w:tr>
      <w:tr w:rsidR="00E12BB4">
        <w:trPr>
          <w:trHeight w:hRule="exact" w:val="658"/>
          <w:jc w:val="center"/>
        </w:trPr>
        <w:tc>
          <w:tcPr>
            <w:tcW w:w="1570"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10" w:lineRule="exact"/>
              <w:ind w:left="80" w:firstLine="0"/>
            </w:pPr>
            <w:r>
              <w:rPr>
                <w:rStyle w:val="a7"/>
              </w:rPr>
              <w:t>Acid Reducing Agents:</w:t>
            </w:r>
          </w:p>
        </w:tc>
        <w:tc>
          <w:tcPr>
            <w:tcW w:w="989"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10" w:lineRule="exact"/>
              <w:ind w:firstLine="0"/>
              <w:jc w:val="both"/>
            </w:pPr>
            <w:proofErr w:type="spellStart"/>
            <w:r>
              <w:rPr>
                <w:rStyle w:val="aa"/>
              </w:rPr>
              <w:t>i</w:t>
            </w:r>
            <w:proofErr w:type="spellEnd"/>
            <w:r>
              <w:rPr>
                <w:rStyle w:val="12"/>
              </w:rPr>
              <w:t xml:space="preserve"> </w:t>
            </w:r>
            <w:proofErr w:type="spellStart"/>
            <w:r>
              <w:rPr>
                <w:rStyle w:val="12"/>
              </w:rPr>
              <w:t>ledipasvir</w:t>
            </w:r>
            <w:proofErr w:type="spellEnd"/>
          </w:p>
        </w:tc>
        <w:tc>
          <w:tcPr>
            <w:tcW w:w="2136"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39" w:lineRule="exact"/>
              <w:ind w:left="60" w:firstLine="0"/>
            </w:pPr>
            <w:proofErr w:type="spellStart"/>
            <w:r>
              <w:rPr>
                <w:rStyle w:val="12"/>
              </w:rPr>
              <w:t>Ledipasvir</w:t>
            </w:r>
            <w:proofErr w:type="spellEnd"/>
            <w:r>
              <w:rPr>
                <w:rStyle w:val="12"/>
              </w:rPr>
              <w:t xml:space="preserve"> solubility decreases as pH increases. Drugs that increase gastric pH are expected to decrease concentration of </w:t>
            </w:r>
            <w:proofErr w:type="spellStart"/>
            <w:r>
              <w:rPr>
                <w:rStyle w:val="12"/>
              </w:rPr>
              <w:t>ledipasvir</w:t>
            </w:r>
            <w:proofErr w:type="spellEnd"/>
            <w:r>
              <w:rPr>
                <w:rStyle w:val="12"/>
              </w:rPr>
              <w:t>.</w:t>
            </w:r>
          </w:p>
        </w:tc>
      </w:tr>
      <w:tr w:rsidR="00E12BB4">
        <w:trPr>
          <w:trHeight w:hRule="exact" w:val="514"/>
          <w:jc w:val="center"/>
        </w:trPr>
        <w:tc>
          <w:tcPr>
            <w:tcW w:w="1570" w:type="dxa"/>
            <w:tcBorders>
              <w:top w:val="single" w:sz="4" w:space="0" w:color="auto"/>
              <w:lef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39" w:lineRule="exact"/>
              <w:ind w:left="80" w:firstLine="0"/>
            </w:pPr>
            <w:r>
              <w:rPr>
                <w:rStyle w:val="12"/>
              </w:rPr>
              <w:t>Antacids (e.g., aluminum and magnesium hydroxide)</w:t>
            </w:r>
          </w:p>
        </w:tc>
        <w:tc>
          <w:tcPr>
            <w:tcW w:w="989" w:type="dxa"/>
            <w:tcBorders>
              <w:left w:val="single" w:sz="4" w:space="0" w:color="auto"/>
            </w:tcBorders>
            <w:shd w:val="clear" w:color="auto" w:fill="FFFFFF"/>
          </w:tcPr>
          <w:p w:rsidR="00E12BB4" w:rsidRDefault="00E12BB4">
            <w:pPr>
              <w:framePr w:w="4694" w:wrap="notBeside" w:vAnchor="text" w:hAnchor="text" w:xAlign="center" w:y="1"/>
              <w:rPr>
                <w:sz w:val="10"/>
                <w:szCs w:val="10"/>
              </w:rPr>
            </w:pPr>
          </w:p>
        </w:tc>
        <w:tc>
          <w:tcPr>
            <w:tcW w:w="2136"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44" w:lineRule="exact"/>
              <w:ind w:firstLine="0"/>
              <w:jc w:val="both"/>
            </w:pPr>
            <w:r>
              <w:rPr>
                <w:rStyle w:val="12"/>
              </w:rPr>
              <w:t>It is recommended to separate antac</w:t>
            </w:r>
            <w:r>
              <w:rPr>
                <w:rStyle w:val="12"/>
              </w:rPr>
              <w:softHyphen/>
              <w:t>id and HEPCINAT-LP administration by 4 hours.</w:t>
            </w:r>
          </w:p>
        </w:tc>
      </w:tr>
      <w:tr w:rsidR="00E12BB4">
        <w:trPr>
          <w:trHeight w:hRule="exact" w:val="950"/>
          <w:jc w:val="center"/>
        </w:trPr>
        <w:tc>
          <w:tcPr>
            <w:tcW w:w="1570"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44" w:lineRule="exact"/>
              <w:ind w:left="80" w:firstLine="0"/>
            </w:pPr>
            <w:r>
              <w:rPr>
                <w:rStyle w:val="12"/>
              </w:rPr>
              <w:t>H</w:t>
            </w:r>
            <w:r>
              <w:rPr>
                <w:rStyle w:val="12"/>
                <w:vertAlign w:val="subscript"/>
              </w:rPr>
              <w:t>2</w:t>
            </w:r>
            <w:r>
              <w:rPr>
                <w:rStyle w:val="12"/>
              </w:rPr>
              <w:t>-receptor antagonists</w:t>
            </w:r>
            <w:r>
              <w:rPr>
                <w:rStyle w:val="12"/>
                <w:vertAlign w:val="superscript"/>
              </w:rPr>
              <w:t>0</w:t>
            </w:r>
            <w:r>
              <w:rPr>
                <w:rStyle w:val="12"/>
              </w:rPr>
              <w:t xml:space="preserve"> (e.g., famotidine)</w:t>
            </w:r>
          </w:p>
        </w:tc>
        <w:tc>
          <w:tcPr>
            <w:tcW w:w="989" w:type="dxa"/>
            <w:tcBorders>
              <w:left w:val="single" w:sz="4" w:space="0" w:color="auto"/>
            </w:tcBorders>
            <w:shd w:val="clear" w:color="auto" w:fill="FFFFFF"/>
          </w:tcPr>
          <w:p w:rsidR="00E12BB4" w:rsidRDefault="00E12BB4">
            <w:pPr>
              <w:framePr w:w="4694" w:wrap="notBeside" w:vAnchor="text" w:hAnchor="text" w:xAlign="center" w:y="1"/>
              <w:rPr>
                <w:sz w:val="10"/>
                <w:szCs w:val="10"/>
              </w:rPr>
            </w:pPr>
          </w:p>
        </w:tc>
        <w:tc>
          <w:tcPr>
            <w:tcW w:w="2136"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44" w:lineRule="exact"/>
              <w:ind w:firstLine="0"/>
              <w:jc w:val="both"/>
            </w:pPr>
            <w:r>
              <w:rPr>
                <w:rStyle w:val="12"/>
              </w:rPr>
              <w:t>H</w:t>
            </w:r>
            <w:r>
              <w:rPr>
                <w:rStyle w:val="12"/>
                <w:vertAlign w:val="subscript"/>
              </w:rPr>
              <w:t>2</w:t>
            </w:r>
            <w:r>
              <w:rPr>
                <w:rStyle w:val="12"/>
              </w:rPr>
              <w:t>-receptor antagonists may be ad</w:t>
            </w:r>
            <w:r>
              <w:rPr>
                <w:rStyle w:val="12"/>
              </w:rPr>
              <w:softHyphen/>
              <w:t>ministered simultaneously with or 12 hours apart from HEPCINAT-LP at a dose that does not exceed doses comparable to famotidine 40 mg twice daily.</w:t>
            </w:r>
          </w:p>
        </w:tc>
      </w:tr>
      <w:tr w:rsidR="00E12BB4">
        <w:trPr>
          <w:trHeight w:hRule="exact" w:val="773"/>
          <w:jc w:val="center"/>
        </w:trPr>
        <w:tc>
          <w:tcPr>
            <w:tcW w:w="1570"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39" w:lineRule="exact"/>
              <w:ind w:left="80" w:firstLine="0"/>
            </w:pPr>
            <w:r>
              <w:rPr>
                <w:rStyle w:val="12"/>
              </w:rPr>
              <w:t>Proton-pump inhibitors' (e.g., omeprazole)</w:t>
            </w:r>
          </w:p>
        </w:tc>
        <w:tc>
          <w:tcPr>
            <w:tcW w:w="989" w:type="dxa"/>
            <w:tcBorders>
              <w:left w:val="single" w:sz="4" w:space="0" w:color="auto"/>
            </w:tcBorders>
            <w:shd w:val="clear" w:color="auto" w:fill="FFFFFF"/>
          </w:tcPr>
          <w:p w:rsidR="00E12BB4" w:rsidRDefault="00E12BB4">
            <w:pPr>
              <w:framePr w:w="4694" w:wrap="notBeside" w:vAnchor="text" w:hAnchor="text" w:xAlign="center" w:y="1"/>
              <w:rPr>
                <w:sz w:val="10"/>
                <w:szCs w:val="10"/>
              </w:rPr>
            </w:pPr>
          </w:p>
        </w:tc>
        <w:tc>
          <w:tcPr>
            <w:tcW w:w="2136"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44" w:lineRule="exact"/>
              <w:ind w:firstLine="0"/>
              <w:jc w:val="both"/>
            </w:pPr>
            <w:r>
              <w:rPr>
                <w:rStyle w:val="12"/>
              </w:rPr>
              <w:t>Proton-pump inhibitor doses compa</w:t>
            </w:r>
            <w:r>
              <w:rPr>
                <w:rStyle w:val="12"/>
              </w:rPr>
              <w:softHyphen/>
              <w:t>rable to omeprazole 20 mg or lower can be administered simultaneously with HEPCINAT-LP under fasted con</w:t>
            </w:r>
            <w:r>
              <w:rPr>
                <w:rStyle w:val="12"/>
              </w:rPr>
              <w:softHyphen/>
              <w:t>ditions.</w:t>
            </w:r>
          </w:p>
        </w:tc>
      </w:tr>
      <w:tr w:rsidR="00E12BB4">
        <w:trPr>
          <w:trHeight w:hRule="exact" w:val="1258"/>
          <w:jc w:val="center"/>
        </w:trPr>
        <w:tc>
          <w:tcPr>
            <w:tcW w:w="1570"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10" w:lineRule="exact"/>
              <w:ind w:left="80" w:firstLine="0"/>
            </w:pPr>
            <w:proofErr w:type="spellStart"/>
            <w:r>
              <w:rPr>
                <w:rStyle w:val="a7"/>
              </w:rPr>
              <w:t>Antiarrhythmics</w:t>
            </w:r>
            <w:proofErr w:type="spellEnd"/>
            <w:r>
              <w:rPr>
                <w:rStyle w:val="a7"/>
              </w:rPr>
              <w:t>:</w:t>
            </w:r>
          </w:p>
          <w:p w:rsidR="00E12BB4" w:rsidRDefault="003A60A2">
            <w:pPr>
              <w:pStyle w:val="2"/>
              <w:framePr w:w="4694" w:wrap="notBeside" w:vAnchor="text" w:hAnchor="text" w:xAlign="center" w:y="1"/>
              <w:shd w:val="clear" w:color="auto" w:fill="auto"/>
              <w:spacing w:after="0" w:line="110" w:lineRule="exact"/>
              <w:ind w:left="80" w:firstLine="0"/>
            </w:pPr>
            <w:proofErr w:type="spellStart"/>
            <w:r>
              <w:rPr>
                <w:rStyle w:val="12"/>
              </w:rPr>
              <w:t>amiodarone</w:t>
            </w:r>
            <w:proofErr w:type="spellEnd"/>
          </w:p>
        </w:tc>
        <w:tc>
          <w:tcPr>
            <w:tcW w:w="989"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44" w:lineRule="exact"/>
              <w:ind w:firstLine="0"/>
              <w:jc w:val="both"/>
            </w:pPr>
            <w:r>
              <w:rPr>
                <w:rStyle w:val="12"/>
              </w:rPr>
              <w:t>Effect on</w:t>
            </w:r>
          </w:p>
          <w:p w:rsidR="00E12BB4" w:rsidRDefault="003A60A2">
            <w:pPr>
              <w:pStyle w:val="2"/>
              <w:framePr w:w="4694" w:wrap="notBeside" w:vAnchor="text" w:hAnchor="text" w:xAlign="center" w:y="1"/>
              <w:shd w:val="clear" w:color="auto" w:fill="auto"/>
              <w:spacing w:after="0" w:line="144" w:lineRule="exact"/>
              <w:ind w:firstLine="0"/>
              <w:jc w:val="both"/>
            </w:pPr>
            <w:proofErr w:type="spellStart"/>
            <w:r>
              <w:rPr>
                <w:rStyle w:val="12"/>
              </w:rPr>
              <w:t>amiodarone</w:t>
            </w:r>
            <w:proofErr w:type="spellEnd"/>
            <w:r>
              <w:rPr>
                <w:rStyle w:val="12"/>
              </w:rPr>
              <w:t>,</w:t>
            </w:r>
          </w:p>
          <w:p w:rsidR="00E12BB4" w:rsidRDefault="003A60A2">
            <w:pPr>
              <w:pStyle w:val="2"/>
              <w:framePr w:w="4694" w:wrap="notBeside" w:vAnchor="text" w:hAnchor="text" w:xAlign="center" w:y="1"/>
              <w:shd w:val="clear" w:color="auto" w:fill="auto"/>
              <w:spacing w:after="0" w:line="144" w:lineRule="exact"/>
              <w:ind w:right="160" w:firstLine="0"/>
              <w:jc w:val="right"/>
            </w:pPr>
            <w:proofErr w:type="spellStart"/>
            <w:r>
              <w:rPr>
                <w:rStyle w:val="12"/>
              </w:rPr>
              <w:t>ledipasvir</w:t>
            </w:r>
            <w:proofErr w:type="spellEnd"/>
            <w:r>
              <w:rPr>
                <w:rStyle w:val="12"/>
              </w:rPr>
              <w:t>, and</w:t>
            </w:r>
          </w:p>
          <w:p w:rsidR="00E12BB4" w:rsidRDefault="003A60A2">
            <w:pPr>
              <w:pStyle w:val="2"/>
              <w:framePr w:w="4694" w:wrap="notBeside" w:vAnchor="text" w:hAnchor="text" w:xAlign="center" w:y="1"/>
              <w:shd w:val="clear" w:color="auto" w:fill="auto"/>
              <w:spacing w:after="0" w:line="144" w:lineRule="exact"/>
              <w:ind w:firstLine="0"/>
              <w:jc w:val="both"/>
            </w:pPr>
            <w:proofErr w:type="spellStart"/>
            <w:r>
              <w:rPr>
                <w:rStyle w:val="12"/>
              </w:rPr>
              <w:t>sofosbuvir</w:t>
            </w:r>
            <w:proofErr w:type="spellEnd"/>
          </w:p>
          <w:p w:rsidR="00E12BB4" w:rsidRDefault="003A60A2">
            <w:pPr>
              <w:pStyle w:val="2"/>
              <w:framePr w:w="4694" w:wrap="notBeside" w:vAnchor="text" w:hAnchor="text" w:xAlign="center" w:y="1"/>
              <w:shd w:val="clear" w:color="auto" w:fill="auto"/>
              <w:spacing w:after="0" w:line="144" w:lineRule="exact"/>
              <w:ind w:right="160" w:firstLine="0"/>
              <w:jc w:val="right"/>
            </w:pPr>
            <w:r>
              <w:rPr>
                <w:rStyle w:val="12"/>
              </w:rPr>
              <w:t>concentrations</w:t>
            </w:r>
          </w:p>
          <w:p w:rsidR="00E12BB4" w:rsidRDefault="003A60A2">
            <w:pPr>
              <w:pStyle w:val="2"/>
              <w:framePr w:w="4694" w:wrap="notBeside" w:vAnchor="text" w:hAnchor="text" w:xAlign="center" w:y="1"/>
              <w:shd w:val="clear" w:color="auto" w:fill="auto"/>
              <w:spacing w:after="0" w:line="144" w:lineRule="exact"/>
              <w:ind w:firstLine="0"/>
              <w:jc w:val="both"/>
            </w:pPr>
            <w:r>
              <w:rPr>
                <w:rStyle w:val="12"/>
              </w:rPr>
              <w:t>unknown</w:t>
            </w:r>
          </w:p>
        </w:tc>
        <w:tc>
          <w:tcPr>
            <w:tcW w:w="2136"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39" w:lineRule="exact"/>
              <w:ind w:firstLine="0"/>
              <w:jc w:val="both"/>
            </w:pPr>
            <w:proofErr w:type="spellStart"/>
            <w:r>
              <w:rPr>
                <w:rStyle w:val="12"/>
              </w:rPr>
              <w:t>Coadministration</w:t>
            </w:r>
            <w:proofErr w:type="spellEnd"/>
            <w:r>
              <w:rPr>
                <w:rStyle w:val="12"/>
              </w:rPr>
              <w:t xml:space="preserve"> of </w:t>
            </w:r>
            <w:proofErr w:type="spellStart"/>
            <w:r>
              <w:rPr>
                <w:rStyle w:val="12"/>
              </w:rPr>
              <w:t>amiodarone</w:t>
            </w:r>
            <w:proofErr w:type="spellEnd"/>
            <w:r>
              <w:rPr>
                <w:rStyle w:val="12"/>
              </w:rPr>
              <w:t xml:space="preserve"> with HEPCINAT-LP may result in se</w:t>
            </w:r>
            <w:r>
              <w:rPr>
                <w:rStyle w:val="12"/>
              </w:rPr>
              <w:softHyphen/>
              <w:t xml:space="preserve">rious symptomatic </w:t>
            </w:r>
            <w:proofErr w:type="spellStart"/>
            <w:r>
              <w:rPr>
                <w:rStyle w:val="12"/>
              </w:rPr>
              <w:t>bradycardia</w:t>
            </w:r>
            <w:proofErr w:type="spellEnd"/>
            <w:r>
              <w:rPr>
                <w:rStyle w:val="12"/>
              </w:rPr>
              <w:t xml:space="preserve">. The mechanism of this effect is unknown. </w:t>
            </w:r>
            <w:proofErr w:type="spellStart"/>
            <w:r>
              <w:rPr>
                <w:rStyle w:val="12"/>
              </w:rPr>
              <w:t>Coadministration</w:t>
            </w:r>
            <w:proofErr w:type="spellEnd"/>
            <w:r>
              <w:rPr>
                <w:rStyle w:val="12"/>
              </w:rPr>
              <w:t xml:space="preserve"> of </w:t>
            </w:r>
            <w:proofErr w:type="spellStart"/>
            <w:r>
              <w:rPr>
                <w:rStyle w:val="12"/>
              </w:rPr>
              <w:t>amiodarone</w:t>
            </w:r>
            <w:proofErr w:type="spellEnd"/>
            <w:r>
              <w:rPr>
                <w:rStyle w:val="12"/>
              </w:rPr>
              <w:t xml:space="preserve"> with HEPCINAT-LP is not recommended; if </w:t>
            </w:r>
            <w:proofErr w:type="spellStart"/>
            <w:r>
              <w:rPr>
                <w:rStyle w:val="12"/>
              </w:rPr>
              <w:t>coadministration</w:t>
            </w:r>
            <w:proofErr w:type="spellEnd"/>
            <w:r>
              <w:rPr>
                <w:rStyle w:val="12"/>
              </w:rPr>
              <w:t xml:space="preserve"> is required, cardiac monitoring is recommended</w:t>
            </w:r>
          </w:p>
        </w:tc>
      </w:tr>
      <w:tr w:rsidR="00E12BB4">
        <w:trPr>
          <w:trHeight w:hRule="exact" w:val="946"/>
          <w:jc w:val="center"/>
        </w:trPr>
        <w:tc>
          <w:tcPr>
            <w:tcW w:w="1570"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10" w:lineRule="exact"/>
              <w:ind w:left="80" w:firstLine="0"/>
            </w:pPr>
            <w:r>
              <w:rPr>
                <w:rStyle w:val="12"/>
              </w:rPr>
              <w:t>digoxin</w:t>
            </w:r>
          </w:p>
        </w:tc>
        <w:tc>
          <w:tcPr>
            <w:tcW w:w="989"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10" w:lineRule="exact"/>
              <w:ind w:firstLine="0"/>
              <w:jc w:val="both"/>
            </w:pPr>
            <w:r>
              <w:rPr>
                <w:rStyle w:val="12"/>
              </w:rPr>
              <w:t>t digoxin</w:t>
            </w:r>
          </w:p>
        </w:tc>
        <w:tc>
          <w:tcPr>
            <w:tcW w:w="2136"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44" w:lineRule="exact"/>
              <w:ind w:firstLine="0"/>
              <w:jc w:val="both"/>
            </w:pPr>
            <w:proofErr w:type="spellStart"/>
            <w:r>
              <w:rPr>
                <w:rStyle w:val="12"/>
              </w:rPr>
              <w:t>Coadministration</w:t>
            </w:r>
            <w:proofErr w:type="spellEnd"/>
            <w:r>
              <w:rPr>
                <w:rStyle w:val="12"/>
              </w:rPr>
              <w:t xml:space="preserve"> of HEPCINAT-LP with digoxin may increase the con</w:t>
            </w:r>
            <w:r>
              <w:rPr>
                <w:rStyle w:val="12"/>
              </w:rPr>
              <w:softHyphen/>
              <w:t xml:space="preserve">centration of digoxin. Therapeutic concentration monitoring </w:t>
            </w:r>
            <w:r>
              <w:rPr>
                <w:rStyle w:val="12"/>
                <w:lang w:val="ru-RU" w:eastAsia="ru-RU" w:bidi="ru-RU"/>
              </w:rPr>
              <w:t>о</w:t>
            </w:r>
            <w:r>
              <w:rPr>
                <w:rStyle w:val="12"/>
              </w:rPr>
              <w:t xml:space="preserve">f </w:t>
            </w:r>
            <w:proofErr w:type="spellStart"/>
            <w:r>
              <w:rPr>
                <w:rStyle w:val="12"/>
              </w:rPr>
              <w:t>dgoxin</w:t>
            </w:r>
            <w:proofErr w:type="spellEnd"/>
            <w:r>
              <w:rPr>
                <w:rStyle w:val="12"/>
              </w:rPr>
              <w:t xml:space="preserve"> is recommended when </w:t>
            </w:r>
            <w:proofErr w:type="spellStart"/>
            <w:r>
              <w:rPr>
                <w:rStyle w:val="12"/>
              </w:rPr>
              <w:t>coadministered</w:t>
            </w:r>
            <w:proofErr w:type="spellEnd"/>
            <w:r>
              <w:rPr>
                <w:rStyle w:val="12"/>
              </w:rPr>
              <w:t xml:space="preserve"> </w:t>
            </w:r>
            <w:r>
              <w:rPr>
                <w:rStyle w:val="a7"/>
              </w:rPr>
              <w:t xml:space="preserve">with </w:t>
            </w:r>
            <w:r>
              <w:rPr>
                <w:rStyle w:val="12"/>
              </w:rPr>
              <w:t>HEPCINAT-LP.</w:t>
            </w:r>
          </w:p>
        </w:tc>
      </w:tr>
      <w:tr w:rsidR="00E12BB4">
        <w:trPr>
          <w:trHeight w:hRule="exact" w:val="1229"/>
          <w:jc w:val="center"/>
        </w:trPr>
        <w:tc>
          <w:tcPr>
            <w:tcW w:w="1570"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44" w:lineRule="exact"/>
              <w:ind w:left="80" w:firstLine="0"/>
            </w:pPr>
            <w:r>
              <w:rPr>
                <w:rStyle w:val="a7"/>
              </w:rPr>
              <w:t>Anticonvulsants:</w:t>
            </w:r>
          </w:p>
          <w:p w:rsidR="00E12BB4" w:rsidRDefault="003A60A2">
            <w:pPr>
              <w:pStyle w:val="2"/>
              <w:framePr w:w="4694" w:wrap="notBeside" w:vAnchor="text" w:hAnchor="text" w:xAlign="center" w:y="1"/>
              <w:shd w:val="clear" w:color="auto" w:fill="auto"/>
              <w:spacing w:after="0" w:line="144" w:lineRule="exact"/>
              <w:ind w:left="80" w:firstLine="0"/>
            </w:pPr>
            <w:r>
              <w:rPr>
                <w:rStyle w:val="12"/>
              </w:rPr>
              <w:t>Carbamazepine</w:t>
            </w:r>
          </w:p>
          <w:p w:rsidR="00E12BB4" w:rsidRDefault="003A60A2">
            <w:pPr>
              <w:pStyle w:val="2"/>
              <w:framePr w:w="4694" w:wrap="notBeside" w:vAnchor="text" w:hAnchor="text" w:xAlign="center" w:y="1"/>
              <w:shd w:val="clear" w:color="auto" w:fill="auto"/>
              <w:spacing w:after="0" w:line="144" w:lineRule="exact"/>
              <w:ind w:left="80" w:firstLine="0"/>
            </w:pPr>
            <w:r>
              <w:rPr>
                <w:rStyle w:val="12"/>
              </w:rPr>
              <w:t>Phenytoin</w:t>
            </w:r>
          </w:p>
          <w:p w:rsidR="00E12BB4" w:rsidRDefault="003A60A2">
            <w:pPr>
              <w:pStyle w:val="2"/>
              <w:framePr w:w="4694" w:wrap="notBeside" w:vAnchor="text" w:hAnchor="text" w:xAlign="center" w:y="1"/>
              <w:shd w:val="clear" w:color="auto" w:fill="auto"/>
              <w:spacing w:after="0" w:line="144" w:lineRule="exact"/>
              <w:ind w:left="80" w:firstLine="0"/>
            </w:pPr>
            <w:r>
              <w:rPr>
                <w:rStyle w:val="12"/>
              </w:rPr>
              <w:t>Phenobarbital</w:t>
            </w:r>
          </w:p>
          <w:p w:rsidR="00E12BB4" w:rsidRDefault="003A60A2">
            <w:pPr>
              <w:pStyle w:val="2"/>
              <w:framePr w:w="4694" w:wrap="notBeside" w:vAnchor="text" w:hAnchor="text" w:xAlign="center" w:y="1"/>
              <w:shd w:val="clear" w:color="auto" w:fill="auto"/>
              <w:spacing w:after="0" w:line="144" w:lineRule="exact"/>
              <w:ind w:left="80" w:firstLine="0"/>
            </w:pPr>
            <w:proofErr w:type="spellStart"/>
            <w:r>
              <w:rPr>
                <w:rStyle w:val="12"/>
              </w:rPr>
              <w:t>Oxcarbazepine</w:t>
            </w:r>
            <w:proofErr w:type="spellEnd"/>
          </w:p>
        </w:tc>
        <w:tc>
          <w:tcPr>
            <w:tcW w:w="989"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44" w:lineRule="exact"/>
              <w:ind w:firstLine="0"/>
              <w:jc w:val="both"/>
            </w:pPr>
            <w:proofErr w:type="spellStart"/>
            <w:r>
              <w:rPr>
                <w:rStyle w:val="12"/>
              </w:rPr>
              <w:t>i</w:t>
            </w:r>
            <w:proofErr w:type="spellEnd"/>
            <w:r>
              <w:rPr>
                <w:rStyle w:val="12"/>
              </w:rPr>
              <w:t xml:space="preserve"> </w:t>
            </w:r>
            <w:proofErr w:type="spellStart"/>
            <w:r>
              <w:rPr>
                <w:rStyle w:val="12"/>
              </w:rPr>
              <w:t>ledipasvir</w:t>
            </w:r>
            <w:proofErr w:type="spellEnd"/>
            <w:r>
              <w:rPr>
                <w:rStyle w:val="12"/>
              </w:rPr>
              <w:t xml:space="preserve"> </w:t>
            </w:r>
            <w:proofErr w:type="spellStart"/>
            <w:r>
              <w:rPr>
                <w:rStyle w:val="12"/>
              </w:rPr>
              <w:t>i</w:t>
            </w:r>
            <w:proofErr w:type="spellEnd"/>
            <w:r>
              <w:rPr>
                <w:rStyle w:val="12"/>
              </w:rPr>
              <w:t xml:space="preserve"> </w:t>
            </w:r>
            <w:proofErr w:type="spellStart"/>
            <w:r>
              <w:rPr>
                <w:rStyle w:val="12"/>
              </w:rPr>
              <w:t>sofosbuvir</w:t>
            </w:r>
            <w:proofErr w:type="spellEnd"/>
            <w:r>
              <w:rPr>
                <w:rStyle w:val="12"/>
              </w:rPr>
              <w:t xml:space="preserve"> 1 GS-331007</w:t>
            </w:r>
          </w:p>
        </w:tc>
        <w:tc>
          <w:tcPr>
            <w:tcW w:w="2136"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39" w:lineRule="exact"/>
              <w:ind w:firstLine="0"/>
              <w:jc w:val="both"/>
            </w:pPr>
            <w:proofErr w:type="spellStart"/>
            <w:r>
              <w:rPr>
                <w:rStyle w:val="12"/>
              </w:rPr>
              <w:t>Coadministration</w:t>
            </w:r>
            <w:proofErr w:type="spellEnd"/>
            <w:r>
              <w:rPr>
                <w:rStyle w:val="12"/>
              </w:rPr>
              <w:t xml:space="preserve"> of HEPCINAT-LP with carbamazepine, phenytoin. </w:t>
            </w:r>
            <w:proofErr w:type="gramStart"/>
            <w:r>
              <w:rPr>
                <w:rStyle w:val="12"/>
              </w:rPr>
              <w:t>phenobarbital</w:t>
            </w:r>
            <w:proofErr w:type="gramEnd"/>
            <w:r>
              <w:rPr>
                <w:rStyle w:val="12"/>
              </w:rPr>
              <w:t xml:space="preserve">, or </w:t>
            </w:r>
            <w:proofErr w:type="spellStart"/>
            <w:r>
              <w:rPr>
                <w:rStyle w:val="12"/>
              </w:rPr>
              <w:t>oxcarbazepine</w:t>
            </w:r>
            <w:proofErr w:type="spellEnd"/>
            <w:r>
              <w:rPr>
                <w:rStyle w:val="12"/>
              </w:rPr>
              <w:t xml:space="preserve"> is expected to decrease the concen</w:t>
            </w:r>
            <w:r>
              <w:rPr>
                <w:rStyle w:val="12"/>
              </w:rPr>
              <w:softHyphen/>
              <w:t xml:space="preserve">tration of </w:t>
            </w:r>
            <w:proofErr w:type="spellStart"/>
            <w:r>
              <w:rPr>
                <w:rStyle w:val="12"/>
              </w:rPr>
              <w:t>ledipasvir</w:t>
            </w:r>
            <w:proofErr w:type="spellEnd"/>
            <w:r>
              <w:rPr>
                <w:rStyle w:val="12"/>
              </w:rPr>
              <w:t xml:space="preserve"> and </w:t>
            </w:r>
            <w:proofErr w:type="spellStart"/>
            <w:r>
              <w:rPr>
                <w:rStyle w:val="12"/>
              </w:rPr>
              <w:t>sofosbuvir</w:t>
            </w:r>
            <w:proofErr w:type="spellEnd"/>
            <w:r>
              <w:rPr>
                <w:rStyle w:val="12"/>
              </w:rPr>
              <w:t xml:space="preserve">, leading to reduced therapeutic effect of HEPCINAT-LP. </w:t>
            </w:r>
            <w:proofErr w:type="spellStart"/>
            <w:r>
              <w:rPr>
                <w:rStyle w:val="12"/>
              </w:rPr>
              <w:t>Coadministration</w:t>
            </w:r>
            <w:proofErr w:type="spellEnd"/>
            <w:r>
              <w:rPr>
                <w:rStyle w:val="12"/>
              </w:rPr>
              <w:t xml:space="preserve"> is not recommended.</w:t>
            </w:r>
          </w:p>
        </w:tc>
      </w:tr>
      <w:tr w:rsidR="00E12BB4">
        <w:trPr>
          <w:trHeight w:hRule="exact" w:val="1382"/>
          <w:jc w:val="center"/>
        </w:trPr>
        <w:tc>
          <w:tcPr>
            <w:tcW w:w="1570"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44" w:lineRule="exact"/>
              <w:ind w:left="80" w:firstLine="0"/>
            </w:pPr>
            <w:proofErr w:type="spellStart"/>
            <w:r>
              <w:rPr>
                <w:rStyle w:val="a7"/>
              </w:rPr>
              <w:t>Antimycobacterials</w:t>
            </w:r>
            <w:proofErr w:type="spellEnd"/>
            <w:r>
              <w:rPr>
                <w:rStyle w:val="a7"/>
              </w:rPr>
              <w:t>:</w:t>
            </w:r>
          </w:p>
          <w:p w:rsidR="00E12BB4" w:rsidRDefault="003A60A2">
            <w:pPr>
              <w:pStyle w:val="2"/>
              <w:framePr w:w="4694" w:wrap="notBeside" w:vAnchor="text" w:hAnchor="text" w:xAlign="center" w:y="1"/>
              <w:shd w:val="clear" w:color="auto" w:fill="auto"/>
              <w:spacing w:after="0" w:line="144" w:lineRule="exact"/>
              <w:ind w:left="80" w:firstLine="0"/>
            </w:pPr>
            <w:proofErr w:type="spellStart"/>
            <w:r>
              <w:rPr>
                <w:rStyle w:val="12"/>
              </w:rPr>
              <w:t>rifabutin</w:t>
            </w:r>
            <w:proofErr w:type="spellEnd"/>
          </w:p>
          <w:p w:rsidR="00E12BB4" w:rsidRDefault="003A60A2">
            <w:pPr>
              <w:pStyle w:val="2"/>
              <w:framePr w:w="4694" w:wrap="notBeside" w:vAnchor="text" w:hAnchor="text" w:xAlign="center" w:y="1"/>
              <w:shd w:val="clear" w:color="auto" w:fill="auto"/>
              <w:spacing w:after="0" w:line="144" w:lineRule="exact"/>
              <w:ind w:left="80" w:firstLine="0"/>
            </w:pPr>
            <w:r>
              <w:rPr>
                <w:rStyle w:val="12"/>
              </w:rPr>
              <w:t>rifampin</w:t>
            </w:r>
            <w:r>
              <w:rPr>
                <w:rStyle w:val="12"/>
                <w:vertAlign w:val="superscript"/>
              </w:rPr>
              <w:t>0</w:t>
            </w:r>
          </w:p>
          <w:p w:rsidR="00E12BB4" w:rsidRDefault="003A60A2">
            <w:pPr>
              <w:pStyle w:val="2"/>
              <w:framePr w:w="4694" w:wrap="notBeside" w:vAnchor="text" w:hAnchor="text" w:xAlign="center" w:y="1"/>
              <w:shd w:val="clear" w:color="auto" w:fill="auto"/>
              <w:spacing w:after="0" w:line="144" w:lineRule="exact"/>
              <w:ind w:left="80" w:firstLine="0"/>
            </w:pPr>
            <w:proofErr w:type="spellStart"/>
            <w:r>
              <w:rPr>
                <w:rStyle w:val="12"/>
              </w:rPr>
              <w:t>rifapentine</w:t>
            </w:r>
            <w:proofErr w:type="spellEnd"/>
          </w:p>
        </w:tc>
        <w:tc>
          <w:tcPr>
            <w:tcW w:w="989" w:type="dxa"/>
            <w:tcBorders>
              <w:top w:val="single" w:sz="4" w:space="0" w:color="auto"/>
              <w:lef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44" w:lineRule="exact"/>
              <w:ind w:firstLine="0"/>
              <w:jc w:val="both"/>
            </w:pPr>
            <w:r>
              <w:rPr>
                <w:rStyle w:val="aa"/>
              </w:rPr>
              <w:t>I</w:t>
            </w:r>
            <w:r>
              <w:rPr>
                <w:rStyle w:val="12"/>
              </w:rPr>
              <w:t xml:space="preserve"> </w:t>
            </w:r>
            <w:proofErr w:type="spellStart"/>
            <w:r>
              <w:rPr>
                <w:rStyle w:val="12"/>
              </w:rPr>
              <w:t>ledipasvir</w:t>
            </w:r>
            <w:proofErr w:type="spellEnd"/>
            <w:r>
              <w:rPr>
                <w:rStyle w:val="12"/>
              </w:rPr>
              <w:t xml:space="preserve"> 4- </w:t>
            </w:r>
            <w:proofErr w:type="spellStart"/>
            <w:r>
              <w:rPr>
                <w:rStyle w:val="12"/>
              </w:rPr>
              <w:t>sofosbuvir</w:t>
            </w:r>
            <w:proofErr w:type="spellEnd"/>
            <w:r>
              <w:rPr>
                <w:rStyle w:val="12"/>
              </w:rPr>
              <w:t xml:space="preserve"> </w:t>
            </w:r>
            <w:r>
              <w:rPr>
                <w:rStyle w:val="aa"/>
              </w:rPr>
              <w:t>I</w:t>
            </w:r>
            <w:r>
              <w:rPr>
                <w:rStyle w:val="12"/>
              </w:rPr>
              <w:t xml:space="preserve"> GS-331007</w:t>
            </w:r>
          </w:p>
        </w:tc>
        <w:tc>
          <w:tcPr>
            <w:tcW w:w="2136" w:type="dxa"/>
            <w:tcBorders>
              <w:top w:val="single" w:sz="4" w:space="0" w:color="auto"/>
              <w:left w:val="single" w:sz="4" w:space="0" w:color="auto"/>
              <w:righ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39" w:lineRule="exact"/>
              <w:ind w:firstLine="0"/>
              <w:jc w:val="both"/>
            </w:pPr>
            <w:proofErr w:type="spellStart"/>
            <w:r>
              <w:rPr>
                <w:rStyle w:val="12"/>
              </w:rPr>
              <w:t>Coadministration</w:t>
            </w:r>
            <w:proofErr w:type="spellEnd"/>
            <w:r>
              <w:rPr>
                <w:rStyle w:val="12"/>
              </w:rPr>
              <w:t xml:space="preserve"> of HEPCINAT-LP with </w:t>
            </w:r>
            <w:proofErr w:type="spellStart"/>
            <w:r>
              <w:rPr>
                <w:rStyle w:val="12"/>
              </w:rPr>
              <w:t>rifabutin</w:t>
            </w:r>
            <w:proofErr w:type="spellEnd"/>
            <w:r>
              <w:rPr>
                <w:rStyle w:val="12"/>
              </w:rPr>
              <w:t xml:space="preserve"> or </w:t>
            </w:r>
            <w:proofErr w:type="spellStart"/>
            <w:r>
              <w:rPr>
                <w:rStyle w:val="12"/>
              </w:rPr>
              <w:t>rifapentine</w:t>
            </w:r>
            <w:proofErr w:type="spellEnd"/>
            <w:r>
              <w:rPr>
                <w:rStyle w:val="12"/>
              </w:rPr>
              <w:t xml:space="preserve"> is expect</w:t>
            </w:r>
            <w:r>
              <w:rPr>
                <w:rStyle w:val="12"/>
              </w:rPr>
              <w:softHyphen/>
              <w:t xml:space="preserve">ed to decrease the concentration of </w:t>
            </w:r>
            <w:proofErr w:type="spellStart"/>
            <w:r>
              <w:rPr>
                <w:rStyle w:val="12"/>
              </w:rPr>
              <w:t>ledipasvir</w:t>
            </w:r>
            <w:proofErr w:type="spellEnd"/>
            <w:r>
              <w:rPr>
                <w:rStyle w:val="12"/>
              </w:rPr>
              <w:t xml:space="preserve"> and </w:t>
            </w:r>
            <w:proofErr w:type="spellStart"/>
            <w:r>
              <w:rPr>
                <w:rStyle w:val="12"/>
              </w:rPr>
              <w:t>sofosbuvir</w:t>
            </w:r>
            <w:proofErr w:type="spellEnd"/>
            <w:r>
              <w:rPr>
                <w:rStyle w:val="12"/>
              </w:rPr>
              <w:t>, leading to reduced therapeutic effect of HEP</w:t>
            </w:r>
            <w:r>
              <w:rPr>
                <w:rStyle w:val="12"/>
              </w:rPr>
              <w:softHyphen/>
              <w:t xml:space="preserve">CINAT-LP. </w:t>
            </w:r>
            <w:proofErr w:type="spellStart"/>
            <w:r>
              <w:rPr>
                <w:rStyle w:val="12"/>
              </w:rPr>
              <w:t>Coadministration</w:t>
            </w:r>
            <w:proofErr w:type="spellEnd"/>
            <w:r>
              <w:rPr>
                <w:rStyle w:val="12"/>
              </w:rPr>
              <w:t xml:space="preserve"> is not recommended. </w:t>
            </w:r>
            <w:proofErr w:type="spellStart"/>
            <w:r>
              <w:rPr>
                <w:rStyle w:val="12"/>
              </w:rPr>
              <w:t>Coadministration</w:t>
            </w:r>
            <w:proofErr w:type="spellEnd"/>
            <w:r>
              <w:rPr>
                <w:rStyle w:val="12"/>
              </w:rPr>
              <w:t xml:space="preserve"> of HEPCINAT-LP with rifampin, a P-</w:t>
            </w:r>
            <w:proofErr w:type="spellStart"/>
            <w:r>
              <w:rPr>
                <w:rStyle w:val="12"/>
              </w:rPr>
              <w:t>gp</w:t>
            </w:r>
            <w:proofErr w:type="spellEnd"/>
            <w:r>
              <w:rPr>
                <w:rStyle w:val="12"/>
              </w:rPr>
              <w:t xml:space="preserve"> inducer, Is not recommended.</w:t>
            </w:r>
          </w:p>
        </w:tc>
      </w:tr>
      <w:tr w:rsidR="00E12BB4">
        <w:trPr>
          <w:trHeight w:hRule="exact" w:val="192"/>
          <w:jc w:val="center"/>
        </w:trPr>
        <w:tc>
          <w:tcPr>
            <w:tcW w:w="4695" w:type="dxa"/>
            <w:gridSpan w:val="3"/>
            <w:tcBorders>
              <w:top w:val="single" w:sz="4" w:space="0" w:color="auto"/>
              <w:left w:val="single" w:sz="4" w:space="0" w:color="auto"/>
              <w:right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10" w:lineRule="exact"/>
              <w:ind w:left="60" w:firstLine="0"/>
            </w:pPr>
            <w:r>
              <w:rPr>
                <w:rStyle w:val="12"/>
              </w:rPr>
              <w:t xml:space="preserve">HIV </w:t>
            </w:r>
            <w:proofErr w:type="spellStart"/>
            <w:r>
              <w:rPr>
                <w:rStyle w:val="a7"/>
              </w:rPr>
              <w:t>Antiretrovirals</w:t>
            </w:r>
            <w:proofErr w:type="spellEnd"/>
            <w:r>
              <w:rPr>
                <w:rStyle w:val="a7"/>
              </w:rPr>
              <w:t>:</w:t>
            </w:r>
          </w:p>
        </w:tc>
      </w:tr>
      <w:tr w:rsidR="00E12BB4">
        <w:trPr>
          <w:trHeight w:hRule="exact" w:val="1790"/>
          <w:jc w:val="center"/>
        </w:trPr>
        <w:tc>
          <w:tcPr>
            <w:tcW w:w="1570" w:type="dxa"/>
            <w:tcBorders>
              <w:top w:val="single" w:sz="4" w:space="0" w:color="auto"/>
              <w:left w:val="single" w:sz="4" w:space="0" w:color="auto"/>
              <w:bottom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44" w:lineRule="exact"/>
              <w:ind w:left="60" w:firstLine="0"/>
            </w:pPr>
            <w:proofErr w:type="spellStart"/>
            <w:r>
              <w:rPr>
                <w:rStyle w:val="12"/>
              </w:rPr>
              <w:t>efavirenz</w:t>
            </w:r>
            <w:proofErr w:type="spellEnd"/>
            <w:r>
              <w:rPr>
                <w:rStyle w:val="12"/>
              </w:rPr>
              <w:t xml:space="preserve">, </w:t>
            </w:r>
            <w:proofErr w:type="spellStart"/>
            <w:r>
              <w:rPr>
                <w:rStyle w:val="12"/>
              </w:rPr>
              <w:t>emtricitabine</w:t>
            </w:r>
            <w:proofErr w:type="spellEnd"/>
            <w:r>
              <w:rPr>
                <w:rStyle w:val="12"/>
              </w:rPr>
              <w:t xml:space="preserve">, </w:t>
            </w:r>
            <w:proofErr w:type="spellStart"/>
            <w:r>
              <w:rPr>
                <w:rStyle w:val="12"/>
              </w:rPr>
              <w:t>tenofovir</w:t>
            </w:r>
            <w:proofErr w:type="spellEnd"/>
            <w:r>
              <w:rPr>
                <w:rStyle w:val="12"/>
              </w:rPr>
              <w:t xml:space="preserve"> </w:t>
            </w:r>
            <w:proofErr w:type="spellStart"/>
            <w:r>
              <w:rPr>
                <w:rStyle w:val="12"/>
              </w:rPr>
              <w:t>disoproxil</w:t>
            </w:r>
            <w:proofErr w:type="spellEnd"/>
            <w:r>
              <w:rPr>
                <w:rStyle w:val="12"/>
              </w:rPr>
              <w:t xml:space="preserve"> </w:t>
            </w:r>
            <w:proofErr w:type="spellStart"/>
            <w:r>
              <w:rPr>
                <w:rStyle w:val="12"/>
              </w:rPr>
              <w:t>fumarate</w:t>
            </w:r>
            <w:proofErr w:type="spellEnd"/>
            <w:r>
              <w:rPr>
                <w:rStyle w:val="12"/>
              </w:rPr>
              <w:t xml:space="preserve"> (DF)</w:t>
            </w:r>
          </w:p>
        </w:tc>
        <w:tc>
          <w:tcPr>
            <w:tcW w:w="989" w:type="dxa"/>
            <w:tcBorders>
              <w:top w:val="single" w:sz="4" w:space="0" w:color="auto"/>
              <w:left w:val="single" w:sz="4" w:space="0" w:color="auto"/>
              <w:bottom w:val="single" w:sz="4" w:space="0" w:color="auto"/>
            </w:tcBorders>
            <w:shd w:val="clear" w:color="auto" w:fill="FFFFFF"/>
          </w:tcPr>
          <w:p w:rsidR="00E12BB4" w:rsidRDefault="003A60A2">
            <w:pPr>
              <w:pStyle w:val="2"/>
              <w:framePr w:w="4694" w:wrap="notBeside" w:vAnchor="text" w:hAnchor="text" w:xAlign="center" w:y="1"/>
              <w:shd w:val="clear" w:color="auto" w:fill="auto"/>
              <w:spacing w:after="0" w:line="110" w:lineRule="exact"/>
              <w:ind w:firstLine="0"/>
              <w:jc w:val="both"/>
            </w:pPr>
            <w:r>
              <w:rPr>
                <w:rStyle w:val="12"/>
              </w:rPr>
              <w:t xml:space="preserve">T </w:t>
            </w:r>
            <w:proofErr w:type="spellStart"/>
            <w:r>
              <w:rPr>
                <w:rStyle w:val="12"/>
              </w:rPr>
              <w:t>tenofovir</w:t>
            </w:r>
            <w:proofErr w:type="spellEnd"/>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rsidR="00E12BB4" w:rsidRDefault="003A60A2">
            <w:pPr>
              <w:pStyle w:val="2"/>
              <w:framePr w:w="4694" w:wrap="notBeside" w:vAnchor="text" w:hAnchor="text" w:xAlign="center" w:y="1"/>
              <w:shd w:val="clear" w:color="auto" w:fill="auto"/>
              <w:spacing w:after="0" w:line="139" w:lineRule="exact"/>
              <w:ind w:firstLine="0"/>
              <w:jc w:val="both"/>
            </w:pPr>
            <w:r>
              <w:rPr>
                <w:rStyle w:val="12"/>
              </w:rPr>
              <w:t xml:space="preserve">Monitor for </w:t>
            </w:r>
            <w:proofErr w:type="spellStart"/>
            <w:r>
              <w:rPr>
                <w:rStyle w:val="12"/>
              </w:rPr>
              <w:t>tenofovir</w:t>
            </w:r>
            <w:proofErr w:type="spellEnd"/>
            <w:r>
              <w:rPr>
                <w:rStyle w:val="12"/>
              </w:rPr>
              <w:t>-associated ad</w:t>
            </w:r>
            <w:r>
              <w:rPr>
                <w:rStyle w:val="12"/>
              </w:rPr>
              <w:softHyphen/>
              <w:t xml:space="preserve">verse reactions in patients receiving HEPCINAT-LP concomitantly with the combination of </w:t>
            </w:r>
            <w:proofErr w:type="spellStart"/>
            <w:r>
              <w:rPr>
                <w:rStyle w:val="12"/>
              </w:rPr>
              <w:t>efavirenz</w:t>
            </w:r>
            <w:proofErr w:type="spellEnd"/>
            <w:r>
              <w:rPr>
                <w:rStyle w:val="12"/>
              </w:rPr>
              <w:t xml:space="preserve">. </w:t>
            </w:r>
            <w:proofErr w:type="spellStart"/>
            <w:proofErr w:type="gramStart"/>
            <w:r>
              <w:rPr>
                <w:rStyle w:val="12"/>
              </w:rPr>
              <w:t>emtric</w:t>
            </w:r>
            <w:r>
              <w:rPr>
                <w:rStyle w:val="12"/>
              </w:rPr>
              <w:softHyphen/>
              <w:t>itabine</w:t>
            </w:r>
            <w:proofErr w:type="spellEnd"/>
            <w:proofErr w:type="gramEnd"/>
            <w:r>
              <w:rPr>
                <w:rStyle w:val="12"/>
              </w:rPr>
              <w:t xml:space="preserve"> and </w:t>
            </w:r>
            <w:proofErr w:type="spellStart"/>
            <w:r>
              <w:rPr>
                <w:rStyle w:val="12"/>
              </w:rPr>
              <w:t>tenofovir</w:t>
            </w:r>
            <w:proofErr w:type="spellEnd"/>
            <w:r>
              <w:rPr>
                <w:rStyle w:val="12"/>
              </w:rPr>
              <w:t xml:space="preserve"> DF Refer to VIREAD (</w:t>
            </w:r>
            <w:proofErr w:type="spellStart"/>
            <w:r>
              <w:rPr>
                <w:rStyle w:val="12"/>
              </w:rPr>
              <w:t>Tenofovir</w:t>
            </w:r>
            <w:proofErr w:type="spellEnd"/>
            <w:r>
              <w:rPr>
                <w:rStyle w:val="12"/>
              </w:rPr>
              <w:t xml:space="preserve"> </w:t>
            </w:r>
            <w:proofErr w:type="spellStart"/>
            <w:r>
              <w:rPr>
                <w:rStyle w:val="12"/>
              </w:rPr>
              <w:t>discc'e</w:t>
            </w:r>
            <w:proofErr w:type="spellEnd"/>
            <w:r>
              <w:rPr>
                <w:rStyle w:val="12"/>
              </w:rPr>
              <w:t xml:space="preserve">* </w:t>
            </w:r>
            <w:proofErr w:type="spellStart"/>
            <w:r>
              <w:rPr>
                <w:rStyle w:val="12"/>
              </w:rPr>
              <w:t>fjma</w:t>
            </w:r>
            <w:proofErr w:type="spellEnd"/>
            <w:r>
              <w:rPr>
                <w:rStyle w:val="12"/>
              </w:rPr>
              <w:t>- rate), TRUVADA (</w:t>
            </w:r>
            <w:proofErr w:type="spellStart"/>
            <w:r>
              <w:rPr>
                <w:rStyle w:val="12"/>
              </w:rPr>
              <w:t>Emtr</w:t>
            </w:r>
            <w:proofErr w:type="spellEnd"/>
            <w:r>
              <w:rPr>
                <w:rStyle w:val="12"/>
              </w:rPr>
              <w:t xml:space="preserve">&gt;c tab '= </w:t>
            </w:r>
            <w:proofErr w:type="spellStart"/>
            <w:r>
              <w:rPr>
                <w:rStyle w:val="12"/>
              </w:rPr>
              <w:t>Teno</w:t>
            </w:r>
            <w:r>
              <w:rPr>
                <w:rStyle w:val="12"/>
              </w:rPr>
              <w:softHyphen/>
              <w:t>fovir</w:t>
            </w:r>
            <w:proofErr w:type="spellEnd"/>
            <w:r>
              <w:rPr>
                <w:rStyle w:val="12"/>
              </w:rPr>
              <w:t xml:space="preserve"> </w:t>
            </w:r>
            <w:proofErr w:type="spellStart"/>
            <w:r>
              <w:rPr>
                <w:rStyle w:val="12"/>
              </w:rPr>
              <w:t>disoproxil</w:t>
            </w:r>
            <w:proofErr w:type="spellEnd"/>
            <w:r>
              <w:rPr>
                <w:rStyle w:val="12"/>
              </w:rPr>
              <w:t xml:space="preserve"> </w:t>
            </w:r>
            <w:proofErr w:type="spellStart"/>
            <w:r>
              <w:rPr>
                <w:rStyle w:val="12"/>
              </w:rPr>
              <w:t>fumarate</w:t>
            </w:r>
            <w:proofErr w:type="spellEnd"/>
            <w:r>
              <w:rPr>
                <w:rStyle w:val="12"/>
              </w:rPr>
              <w:t>:. or ATRIPI.A (</w:t>
            </w:r>
            <w:proofErr w:type="spellStart"/>
            <w:r>
              <w:rPr>
                <w:rStyle w:val="12"/>
              </w:rPr>
              <w:t>Efavirenz</w:t>
            </w:r>
            <w:proofErr w:type="spellEnd"/>
            <w:r>
              <w:rPr>
                <w:rStyle w:val="12"/>
              </w:rPr>
              <w:t>/</w:t>
            </w:r>
            <w:proofErr w:type="spellStart"/>
            <w:r>
              <w:rPr>
                <w:rStyle w:val="12"/>
              </w:rPr>
              <w:t>Emtricitabine</w:t>
            </w:r>
            <w:proofErr w:type="spellEnd"/>
            <w:r>
              <w:rPr>
                <w:rStyle w:val="12"/>
              </w:rPr>
              <w:t>/</w:t>
            </w:r>
            <w:proofErr w:type="spellStart"/>
            <w:r>
              <w:rPr>
                <w:rStyle w:val="12"/>
              </w:rPr>
              <w:t>tenofovir</w:t>
            </w:r>
            <w:proofErr w:type="spellEnd"/>
            <w:r>
              <w:rPr>
                <w:rStyle w:val="12"/>
              </w:rPr>
              <w:t xml:space="preserve"> </w:t>
            </w:r>
            <w:proofErr w:type="spellStart"/>
            <w:r>
              <w:rPr>
                <w:rStyle w:val="12"/>
              </w:rPr>
              <w:t>disoproxil</w:t>
            </w:r>
            <w:proofErr w:type="spellEnd"/>
            <w:r>
              <w:rPr>
                <w:rStyle w:val="12"/>
              </w:rPr>
              <w:t xml:space="preserve"> </w:t>
            </w:r>
            <w:proofErr w:type="spellStart"/>
            <w:r>
              <w:rPr>
                <w:rStyle w:val="12"/>
              </w:rPr>
              <w:t>fumarate</w:t>
            </w:r>
            <w:proofErr w:type="spellEnd"/>
            <w:r>
              <w:rPr>
                <w:rStyle w:val="12"/>
              </w:rPr>
              <w:t xml:space="preserve">) present </w:t>
            </w:r>
            <w:proofErr w:type="spellStart"/>
            <w:r>
              <w:rPr>
                <w:rStyle w:val="12"/>
              </w:rPr>
              <w:t>ng</w:t>
            </w:r>
            <w:proofErr w:type="spellEnd"/>
            <w:r>
              <w:rPr>
                <w:rStyle w:val="12"/>
              </w:rPr>
              <w:t xml:space="preserve"> infor</w:t>
            </w:r>
            <w:r>
              <w:rPr>
                <w:rStyle w:val="12"/>
              </w:rPr>
              <w:softHyphen/>
              <w:t>mation for recommendations on renal monitoring.</w:t>
            </w:r>
          </w:p>
        </w:tc>
      </w:tr>
    </w:tbl>
    <w:p w:rsidR="00E12BB4" w:rsidRDefault="00E12BB4">
      <w:pPr>
        <w:rPr>
          <w:sz w:val="2"/>
          <w:szCs w:val="2"/>
        </w:rPr>
      </w:pPr>
    </w:p>
    <w:p w:rsidR="00E12BB4" w:rsidRDefault="00E12BB4" w:rsidP="002248DD">
      <w:pPr>
        <w:pStyle w:val="23"/>
        <w:shd w:val="clear" w:color="auto" w:fill="auto"/>
        <w:spacing w:before="0" w:line="144" w:lineRule="exact"/>
      </w:pPr>
    </w:p>
    <w:p w:rsidR="00E12BB4" w:rsidRDefault="00E12BB4" w:rsidP="002248DD">
      <w:pPr>
        <w:pStyle w:val="23"/>
        <w:shd w:val="clear" w:color="auto" w:fill="auto"/>
        <w:spacing w:before="0" w:line="110" w:lineRule="exact"/>
      </w:pPr>
    </w:p>
    <w:p w:rsidR="00E12BB4" w:rsidRDefault="002248DD" w:rsidP="002248DD">
      <w:pPr>
        <w:pStyle w:val="23"/>
        <w:shd w:val="clear" w:color="auto" w:fill="auto"/>
        <w:spacing w:before="0" w:line="144" w:lineRule="exact"/>
      </w:pPr>
      <w:r>
        <w:t>11.5</w:t>
      </w:r>
      <w:r w:rsidR="003A60A2">
        <w:t xml:space="preserve"> Renal Impairment</w:t>
      </w:r>
    </w:p>
    <w:p w:rsidR="00E12BB4" w:rsidRDefault="003A60A2">
      <w:pPr>
        <w:pStyle w:val="2"/>
        <w:shd w:val="clear" w:color="auto" w:fill="auto"/>
        <w:spacing w:after="0" w:line="144" w:lineRule="exact"/>
        <w:ind w:left="60" w:right="20" w:firstLine="0"/>
        <w:jc w:val="both"/>
      </w:pPr>
      <w:r>
        <w:t>No dosage adjustment of HEPCINAT-LP is required for patients with mild or moderate renal impairment. The safety and efficacy of HEPCINAT-LP have not been established in patients with severe renal impairment (</w:t>
      </w:r>
      <w:proofErr w:type="spellStart"/>
      <w:r>
        <w:t>eGFR</w:t>
      </w:r>
      <w:proofErr w:type="spellEnd"/>
      <w:r>
        <w:t xml:space="preserve"> &lt;30 mL/</w:t>
      </w:r>
      <w:proofErr w:type="spellStart"/>
      <w:r>
        <w:t>mln</w:t>
      </w:r>
      <w:proofErr w:type="spellEnd"/>
      <w:r>
        <w:t>/1.73m</w:t>
      </w:r>
      <w:r>
        <w:rPr>
          <w:vertAlign w:val="superscript"/>
        </w:rPr>
        <w:t>2</w:t>
      </w:r>
      <w:r>
        <w:t>) or ESRD requiring hemodialysis. No dosage recommendation can be given for patients with severe renal impairment or ESRD.</w:t>
      </w:r>
    </w:p>
    <w:p w:rsidR="00E12BB4" w:rsidRDefault="003A60A2" w:rsidP="002248DD">
      <w:pPr>
        <w:pStyle w:val="23"/>
        <w:numPr>
          <w:ilvl w:val="1"/>
          <w:numId w:val="18"/>
        </w:numPr>
        <w:shd w:val="clear" w:color="auto" w:fill="auto"/>
        <w:spacing w:before="0" w:line="110" w:lineRule="exact"/>
      </w:pPr>
      <w:r>
        <w:t xml:space="preserve"> Hepatic Impairment</w:t>
      </w:r>
    </w:p>
    <w:p w:rsidR="00E12BB4" w:rsidRDefault="003A60A2">
      <w:pPr>
        <w:pStyle w:val="2"/>
        <w:shd w:val="clear" w:color="auto" w:fill="auto"/>
        <w:tabs>
          <w:tab w:val="left" w:pos="1735"/>
        </w:tabs>
        <w:spacing w:after="0" w:line="144" w:lineRule="exact"/>
        <w:ind w:left="60" w:right="20" w:firstLine="0"/>
        <w:jc w:val="both"/>
      </w:pPr>
      <w:r>
        <w:t>No dosage ad*</w:t>
      </w:r>
      <w:proofErr w:type="spellStart"/>
      <w:r>
        <w:t>ustr</w:t>
      </w:r>
      <w:proofErr w:type="spellEnd"/>
      <w:r>
        <w:t xml:space="preserve">^~: of HEPCINAT-LP is required for patients with mild, moderate, or severe </w:t>
      </w:r>
      <w:proofErr w:type="spellStart"/>
      <w:r>
        <w:t>heosr</w:t>
      </w:r>
      <w:proofErr w:type="spellEnd"/>
      <w:r>
        <w:t>:</w:t>
      </w:r>
      <w:r>
        <w:tab/>
      </w:r>
      <w:proofErr w:type="spellStart"/>
      <w:r>
        <w:t>iChild</w:t>
      </w:r>
      <w:proofErr w:type="spellEnd"/>
      <w:r>
        <w:t>-Pugh Class A, B, or C). Safety and efficacy of</w:t>
      </w:r>
    </w:p>
    <w:p w:rsidR="00E12BB4" w:rsidRDefault="003A60A2">
      <w:pPr>
        <w:pStyle w:val="2"/>
        <w:shd w:val="clear" w:color="auto" w:fill="auto"/>
        <w:spacing w:after="0" w:line="144" w:lineRule="exact"/>
        <w:ind w:left="60" w:firstLine="0"/>
        <w:jc w:val="both"/>
      </w:pPr>
      <w:r>
        <w:t xml:space="preserve">HEPCINAT-LP </w:t>
      </w:r>
      <w:proofErr w:type="gramStart"/>
      <w:r>
        <w:t>have</w:t>
      </w:r>
      <w:proofErr w:type="gramEnd"/>
      <w:r>
        <w:t xml:space="preserve"> not been established in patients with decompensated cirrhosis.</w:t>
      </w:r>
    </w:p>
    <w:p w:rsidR="00E12BB4" w:rsidRDefault="003A60A2">
      <w:pPr>
        <w:pStyle w:val="52"/>
        <w:keepNext/>
        <w:keepLines/>
        <w:numPr>
          <w:ilvl w:val="0"/>
          <w:numId w:val="16"/>
        </w:numPr>
        <w:shd w:val="clear" w:color="auto" w:fill="auto"/>
        <w:spacing w:line="110" w:lineRule="exact"/>
        <w:ind w:left="60"/>
      </w:pPr>
      <w:bookmarkStart w:id="2" w:name="bookmark4"/>
      <w:r>
        <w:t xml:space="preserve"> OVERDOSAGE</w:t>
      </w:r>
      <w:bookmarkEnd w:id="2"/>
    </w:p>
    <w:p w:rsidR="00E12BB4" w:rsidRDefault="003A60A2">
      <w:pPr>
        <w:pStyle w:val="2"/>
        <w:shd w:val="clear" w:color="auto" w:fill="auto"/>
        <w:spacing w:after="0" w:line="139" w:lineRule="exact"/>
        <w:ind w:left="60" w:right="20" w:firstLine="0"/>
        <w:jc w:val="both"/>
      </w:pPr>
      <w:r>
        <w:t xml:space="preserve">No specific antidote is available for overdose with HEPCINAT-LP. If overdose occurs the patient must be monitored for evidence of toxicity. Treatment of overdose with HEPCINAT-LP consists of general supportive measures including monitoring of vital signs-as well as observation of the clinical status of the patient. Hemodialysis is unlikely to result in significant removal of </w:t>
      </w:r>
      <w:proofErr w:type="spellStart"/>
      <w:r>
        <w:t>ledipasvir</w:t>
      </w:r>
      <w:proofErr w:type="spellEnd"/>
      <w:r>
        <w:t xml:space="preserve"> since </w:t>
      </w:r>
      <w:proofErr w:type="spellStart"/>
      <w:r>
        <w:t>ledipasvir</w:t>
      </w:r>
      <w:proofErr w:type="spellEnd"/>
      <w:r>
        <w:t xml:space="preserve"> is highly bound to plasma protein. Hemodialysis can efficiently remove the predominant circulating metabolite of </w:t>
      </w:r>
      <w:proofErr w:type="spellStart"/>
      <w:r>
        <w:t>sofosbuvir</w:t>
      </w:r>
      <w:proofErr w:type="spellEnd"/>
      <w:r>
        <w:t>, GS-331007, with an extraction ratio of 53%.</w:t>
      </w:r>
    </w:p>
    <w:p w:rsidR="00E12BB4" w:rsidRDefault="003A60A2">
      <w:pPr>
        <w:pStyle w:val="52"/>
        <w:keepNext/>
        <w:keepLines/>
        <w:numPr>
          <w:ilvl w:val="0"/>
          <w:numId w:val="17"/>
        </w:numPr>
        <w:shd w:val="clear" w:color="auto" w:fill="auto"/>
        <w:spacing w:line="110" w:lineRule="exact"/>
        <w:ind w:left="60"/>
      </w:pPr>
      <w:bookmarkStart w:id="3" w:name="bookmark5"/>
      <w:r>
        <w:t xml:space="preserve"> HOW SUPPLIED/STORAGE AND HANDLING</w:t>
      </w:r>
      <w:bookmarkEnd w:id="3"/>
    </w:p>
    <w:p w:rsidR="00E12BB4" w:rsidRDefault="003A60A2">
      <w:pPr>
        <w:pStyle w:val="2"/>
        <w:shd w:val="clear" w:color="auto" w:fill="auto"/>
        <w:spacing w:after="207" w:line="144" w:lineRule="exact"/>
        <w:ind w:left="60" w:right="20" w:firstLine="0"/>
        <w:jc w:val="both"/>
      </w:pPr>
      <w:r>
        <w:t>HEPCINAT-LP tablets are Yellow colored, oval shaped, film-coated. Each bottle con</w:t>
      </w:r>
      <w:r>
        <w:softHyphen/>
        <w:t>tains 28 tablets, a silica gel desiccant, polyester coil, and is closed with a child-resistant closure. Store below 30°C.</w:t>
      </w:r>
    </w:p>
    <w:p w:rsidR="00E12BB4" w:rsidRDefault="00E12BB4">
      <w:pPr>
        <w:rPr>
          <w:sz w:val="2"/>
          <w:szCs w:val="2"/>
        </w:rPr>
      </w:pPr>
      <w:bookmarkStart w:id="4" w:name="_GoBack"/>
      <w:bookmarkEnd w:id="4"/>
    </w:p>
    <w:p w:rsidR="00E12BB4" w:rsidRDefault="00E12BB4">
      <w:pPr>
        <w:rPr>
          <w:sz w:val="2"/>
          <w:szCs w:val="2"/>
        </w:rPr>
      </w:pPr>
    </w:p>
    <w:sectPr w:rsidR="00E12BB4">
      <w:type w:val="continuous"/>
      <w:pgSz w:w="11909" w:h="16838"/>
      <w:pgMar w:top="1812" w:right="1049" w:bottom="1788" w:left="1049" w:header="0" w:footer="3" w:gutter="144"/>
      <w:cols w:num="2" w:space="102"/>
      <w:noEndnote/>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9FB" w:rsidRDefault="00EB39FB">
      <w:r>
        <w:separator/>
      </w:r>
    </w:p>
  </w:endnote>
  <w:endnote w:type="continuationSeparator" w:id="0">
    <w:p w:rsidR="00EB39FB" w:rsidRDefault="00EB3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9FB" w:rsidRDefault="00EB39FB"/>
  </w:footnote>
  <w:footnote w:type="continuationSeparator" w:id="0">
    <w:p w:rsidR="00EB39FB" w:rsidRDefault="00EB39F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76C3D"/>
    <w:multiLevelType w:val="multilevel"/>
    <w:tmpl w:val="37C885B6"/>
    <w:lvl w:ilvl="0">
      <w:numFmt w:val="decimal"/>
      <w:lvlText w:val="13.%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5B25621"/>
    <w:multiLevelType w:val="multilevel"/>
    <w:tmpl w:val="E9A2775E"/>
    <w:lvl w:ilvl="0">
      <w:numFmt w:val="decimal"/>
      <w:lvlText w:val="11.%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5A40F3B"/>
    <w:multiLevelType w:val="multilevel"/>
    <w:tmpl w:val="EFA65B5E"/>
    <w:lvl w:ilvl="0">
      <w:numFmt w:val="decimal"/>
      <w:lvlText w:val="9.%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8F309CF"/>
    <w:multiLevelType w:val="multilevel"/>
    <w:tmpl w:val="E09416E8"/>
    <w:lvl w:ilvl="0">
      <w:start w:val="1"/>
      <w:numFmt w:val="bullet"/>
      <w:lvlText w:val="•"/>
      <w:lvlJc w:val="left"/>
      <w:rPr>
        <w:rFonts w:ascii="Arial" w:eastAsia="Arial" w:hAnsi="Arial" w:cs="Arial"/>
        <w:b w:val="0"/>
        <w:bCs w:val="0"/>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9D4467D"/>
    <w:multiLevelType w:val="multilevel"/>
    <w:tmpl w:val="D38AE2CC"/>
    <w:lvl w:ilvl="0">
      <w:start w:val="1"/>
      <w:numFmt w:val="bullet"/>
      <w:lvlText w:val="•"/>
      <w:lvlJc w:val="left"/>
      <w:rPr>
        <w:rFonts w:ascii="Arial" w:eastAsia="Arial" w:hAnsi="Arial" w:cs="Arial"/>
        <w:b w:val="0"/>
        <w:bCs w:val="0"/>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F56037A"/>
    <w:multiLevelType w:val="multilevel"/>
    <w:tmpl w:val="336ADA84"/>
    <w:lvl w:ilvl="0">
      <w:numFmt w:val="decimal"/>
      <w:lvlText w:val="4.%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4205512"/>
    <w:multiLevelType w:val="multilevel"/>
    <w:tmpl w:val="C9520D26"/>
    <w:lvl w:ilvl="0">
      <w:start w:val="11"/>
      <w:numFmt w:val="decimal"/>
      <w:lvlText w:val="%1"/>
      <w:lvlJc w:val="left"/>
      <w:pPr>
        <w:ind w:left="360" w:hanging="360"/>
      </w:pPr>
      <w:rPr>
        <w:rFonts w:hint="default"/>
      </w:rPr>
    </w:lvl>
    <w:lvl w:ilvl="1">
      <w:start w:val="6"/>
      <w:numFmt w:val="decimal"/>
      <w:lvlText w:val="%1.%2"/>
      <w:lvlJc w:val="left"/>
      <w:pPr>
        <w:ind w:left="420" w:hanging="360"/>
      </w:pPr>
      <w:rPr>
        <w:rFonts w:hint="default"/>
      </w:rPr>
    </w:lvl>
    <w:lvl w:ilvl="2">
      <w:start w:val="1"/>
      <w:numFmt w:val="decimal"/>
      <w:lvlText w:val="%1.%2.%3"/>
      <w:lvlJc w:val="left"/>
      <w:pPr>
        <w:ind w:left="480" w:hanging="360"/>
      </w:pPr>
      <w:rPr>
        <w:rFonts w:hint="default"/>
      </w:rPr>
    </w:lvl>
    <w:lvl w:ilvl="3">
      <w:start w:val="1"/>
      <w:numFmt w:val="decimal"/>
      <w:lvlText w:val="%1.%2.%3.%4"/>
      <w:lvlJc w:val="left"/>
      <w:pPr>
        <w:ind w:left="540" w:hanging="360"/>
      </w:pPr>
      <w:rPr>
        <w:rFonts w:hint="default"/>
      </w:rPr>
    </w:lvl>
    <w:lvl w:ilvl="4">
      <w:start w:val="1"/>
      <w:numFmt w:val="decimal"/>
      <w:lvlText w:val="%1.%2.%3.%4.%5"/>
      <w:lvlJc w:val="left"/>
      <w:pPr>
        <w:ind w:left="960" w:hanging="720"/>
      </w:pPr>
      <w:rPr>
        <w:rFonts w:hint="default"/>
      </w:rPr>
    </w:lvl>
    <w:lvl w:ilvl="5">
      <w:start w:val="1"/>
      <w:numFmt w:val="decimal"/>
      <w:lvlText w:val="%1.%2.%3.%4.%5.%6"/>
      <w:lvlJc w:val="left"/>
      <w:pPr>
        <w:ind w:left="1020" w:hanging="720"/>
      </w:pPr>
      <w:rPr>
        <w:rFonts w:hint="default"/>
      </w:rPr>
    </w:lvl>
    <w:lvl w:ilvl="6">
      <w:start w:val="1"/>
      <w:numFmt w:val="decimal"/>
      <w:lvlText w:val="%1.%2.%3.%4.%5.%6.%7"/>
      <w:lvlJc w:val="left"/>
      <w:pPr>
        <w:ind w:left="1080" w:hanging="720"/>
      </w:pPr>
      <w:rPr>
        <w:rFonts w:hint="default"/>
      </w:rPr>
    </w:lvl>
    <w:lvl w:ilvl="7">
      <w:start w:val="1"/>
      <w:numFmt w:val="decimal"/>
      <w:lvlText w:val="%1.%2.%3.%4.%5.%6.%7.%8"/>
      <w:lvlJc w:val="left"/>
      <w:pPr>
        <w:ind w:left="1140" w:hanging="720"/>
      </w:pPr>
      <w:rPr>
        <w:rFonts w:hint="default"/>
      </w:rPr>
    </w:lvl>
    <w:lvl w:ilvl="8">
      <w:start w:val="1"/>
      <w:numFmt w:val="decimal"/>
      <w:lvlText w:val="%1.%2.%3.%4.%5.%6.%7.%8.%9"/>
      <w:lvlJc w:val="left"/>
      <w:pPr>
        <w:ind w:left="1560" w:hanging="1080"/>
      </w:pPr>
      <w:rPr>
        <w:rFonts w:hint="default"/>
      </w:rPr>
    </w:lvl>
  </w:abstractNum>
  <w:abstractNum w:abstractNumId="7">
    <w:nsid w:val="4D347DBF"/>
    <w:multiLevelType w:val="multilevel"/>
    <w:tmpl w:val="B97EB350"/>
    <w:lvl w:ilvl="0">
      <w:numFmt w:val="decimal"/>
      <w:lvlText w:val="5.%1"/>
      <w:lvlJc w:val="left"/>
      <w:rPr>
        <w:rFonts w:ascii="Arial" w:eastAsia="Arial" w:hAnsi="Arial" w:cs="Arial"/>
        <w:b w:val="0"/>
        <w:bCs w:val="0"/>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11F5479"/>
    <w:multiLevelType w:val="multilevel"/>
    <w:tmpl w:val="BCCEA8D6"/>
    <w:lvl w:ilvl="0">
      <w:numFmt w:val="decimal"/>
      <w:lvlText w:val="6.%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815767A"/>
    <w:multiLevelType w:val="multilevel"/>
    <w:tmpl w:val="DBD2B922"/>
    <w:lvl w:ilvl="0">
      <w:numFmt w:val="decimal"/>
      <w:lvlText w:val="7.%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8D23E34"/>
    <w:multiLevelType w:val="multilevel"/>
    <w:tmpl w:val="FFA28C02"/>
    <w:lvl w:ilvl="0">
      <w:numFmt w:val="decimal"/>
      <w:lvlText w:val="10.%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9E03E40"/>
    <w:multiLevelType w:val="multilevel"/>
    <w:tmpl w:val="B456E622"/>
    <w:lvl w:ilvl="0">
      <w:numFmt w:val="decimal"/>
      <w:lvlText w:val="12.%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A511BA8"/>
    <w:multiLevelType w:val="multilevel"/>
    <w:tmpl w:val="606CAB5C"/>
    <w:lvl w:ilvl="0">
      <w:numFmt w:val="decimal"/>
      <w:lvlText w:val="5.%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1F67781"/>
    <w:multiLevelType w:val="multilevel"/>
    <w:tmpl w:val="DCDA31E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47644AE"/>
    <w:multiLevelType w:val="multilevel"/>
    <w:tmpl w:val="0352ABE2"/>
    <w:lvl w:ilvl="0">
      <w:numFmt w:val="decimal"/>
      <w:lvlText w:val="8.%1"/>
      <w:lvlJc w:val="left"/>
      <w:rPr>
        <w:rFonts w:ascii="Arial" w:eastAsia="Arial" w:hAnsi="Arial" w:cs="Arial"/>
        <w:b/>
        <w:bCs/>
        <w:i w:val="0"/>
        <w:iCs w:val="0"/>
        <w:smallCaps w:val="0"/>
        <w:strike w:val="0"/>
        <w:color w:val="000000"/>
        <w:spacing w:val="0"/>
        <w:w w:val="100"/>
        <w:position w:val="0"/>
        <w:sz w:val="11"/>
        <w:szCs w:val="1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619100E"/>
    <w:multiLevelType w:val="multilevel"/>
    <w:tmpl w:val="4F920A56"/>
    <w:lvl w:ilvl="0">
      <w:numFmt w:val="decimal"/>
      <w:lvlText w:val="1.%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A253AC7"/>
    <w:multiLevelType w:val="multilevel"/>
    <w:tmpl w:val="44CCDBDA"/>
    <w:lvl w:ilvl="0">
      <w:start w:val="3"/>
      <w:numFmt w:val="decimal"/>
      <w:lvlText w:val="11.%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EAC6F70"/>
    <w:multiLevelType w:val="multilevel"/>
    <w:tmpl w:val="BD9812E0"/>
    <w:lvl w:ilvl="0">
      <w:numFmt w:val="decimal"/>
      <w:lvlText w:val="2.%1"/>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1">
      <w:numFmt w:val="decimal"/>
      <w:lvlText w:val="%1.%2"/>
      <w:lvlJc w:val="left"/>
      <w:rPr>
        <w:rFonts w:ascii="Arial" w:eastAsia="Arial" w:hAnsi="Arial" w:cs="Arial"/>
        <w:b/>
        <w:bCs/>
        <w:i w:val="0"/>
        <w:iCs w:val="0"/>
        <w:smallCaps w:val="0"/>
        <w:strike w:val="0"/>
        <w:color w:val="000000"/>
        <w:spacing w:val="0"/>
        <w:w w:val="100"/>
        <w:position w:val="0"/>
        <w:sz w:val="11"/>
        <w:szCs w:val="11"/>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17"/>
  </w:num>
  <w:num w:numId="3">
    <w:abstractNumId w:val="5"/>
  </w:num>
  <w:num w:numId="4">
    <w:abstractNumId w:val="12"/>
  </w:num>
  <w:num w:numId="5">
    <w:abstractNumId w:val="7"/>
  </w:num>
  <w:num w:numId="6">
    <w:abstractNumId w:val="8"/>
  </w:num>
  <w:num w:numId="7">
    <w:abstractNumId w:val="9"/>
  </w:num>
  <w:num w:numId="8">
    <w:abstractNumId w:val="14"/>
  </w:num>
  <w:num w:numId="9">
    <w:abstractNumId w:val="4"/>
  </w:num>
  <w:num w:numId="10">
    <w:abstractNumId w:val="2"/>
  </w:num>
  <w:num w:numId="11">
    <w:abstractNumId w:val="10"/>
  </w:num>
  <w:num w:numId="12">
    <w:abstractNumId w:val="13"/>
  </w:num>
  <w:num w:numId="13">
    <w:abstractNumId w:val="3"/>
  </w:num>
  <w:num w:numId="14">
    <w:abstractNumId w:val="1"/>
  </w:num>
  <w:num w:numId="15">
    <w:abstractNumId w:val="16"/>
  </w:num>
  <w:num w:numId="16">
    <w:abstractNumId w:val="11"/>
  </w:num>
  <w:num w:numId="17">
    <w:abstractNumId w:val="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
  <w:rsids>
    <w:rsidRoot w:val="00E12BB4"/>
    <w:rsid w:val="002248DD"/>
    <w:rsid w:val="003A60A2"/>
    <w:rsid w:val="00C03903"/>
    <w:rsid w:val="00E12BB4"/>
    <w:rsid w:val="00EB39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2"/>
    <w:rPr>
      <w:rFonts w:ascii="Arial" w:eastAsia="Arial" w:hAnsi="Arial" w:cs="Arial"/>
      <w:b w:val="0"/>
      <w:bCs w:val="0"/>
      <w:i w:val="0"/>
      <w:iCs w:val="0"/>
      <w:smallCaps w:val="0"/>
      <w:strike w:val="0"/>
      <w:sz w:val="11"/>
      <w:szCs w:val="11"/>
      <w:u w:val="none"/>
    </w:rPr>
  </w:style>
  <w:style w:type="character" w:customStyle="1" w:styleId="20">
    <w:name w:val="Заголовок №2_"/>
    <w:basedOn w:val="a0"/>
    <w:link w:val="21"/>
    <w:rPr>
      <w:rFonts w:ascii="Arial" w:eastAsia="Arial" w:hAnsi="Arial" w:cs="Arial"/>
      <w:b/>
      <w:bCs/>
      <w:i/>
      <w:iCs/>
      <w:smallCaps w:val="0"/>
      <w:strike w:val="0"/>
      <w:spacing w:val="-20"/>
      <w:u w:val="none"/>
    </w:rPr>
  </w:style>
  <w:style w:type="character" w:customStyle="1" w:styleId="3">
    <w:name w:val="Заголовок №3_"/>
    <w:basedOn w:val="a0"/>
    <w:link w:val="30"/>
    <w:rPr>
      <w:rFonts w:ascii="Arial" w:eastAsia="Arial" w:hAnsi="Arial" w:cs="Arial"/>
      <w:b w:val="0"/>
      <w:bCs w:val="0"/>
      <w:i w:val="0"/>
      <w:iCs w:val="0"/>
      <w:smallCaps w:val="0"/>
      <w:strike w:val="0"/>
      <w:sz w:val="16"/>
      <w:szCs w:val="16"/>
      <w:u w:val="none"/>
    </w:rPr>
  </w:style>
  <w:style w:type="character" w:customStyle="1" w:styleId="22">
    <w:name w:val="Основной текст (2)_"/>
    <w:basedOn w:val="a0"/>
    <w:link w:val="23"/>
    <w:rPr>
      <w:rFonts w:ascii="Arial" w:eastAsia="Arial" w:hAnsi="Arial" w:cs="Arial"/>
      <w:b/>
      <w:bCs/>
      <w:i w:val="0"/>
      <w:iCs w:val="0"/>
      <w:smallCaps w:val="0"/>
      <w:strike w:val="0"/>
      <w:sz w:val="11"/>
      <w:szCs w:val="11"/>
      <w:u w:val="none"/>
    </w:rPr>
  </w:style>
  <w:style w:type="character" w:customStyle="1" w:styleId="31">
    <w:name w:val="Основной текст (3)_"/>
    <w:basedOn w:val="a0"/>
    <w:link w:val="32"/>
    <w:rPr>
      <w:rFonts w:ascii="Arial Narrow" w:eastAsia="Arial Narrow" w:hAnsi="Arial Narrow" w:cs="Arial Narrow"/>
      <w:b w:val="0"/>
      <w:bCs w:val="0"/>
      <w:i w:val="0"/>
      <w:iCs w:val="0"/>
      <w:smallCaps w:val="0"/>
      <w:strike w:val="0"/>
      <w:sz w:val="16"/>
      <w:szCs w:val="16"/>
      <w:u w:val="none"/>
    </w:rPr>
  </w:style>
  <w:style w:type="character" w:customStyle="1" w:styleId="4">
    <w:name w:val="Основной текст (4)_"/>
    <w:basedOn w:val="a0"/>
    <w:link w:val="40"/>
    <w:rPr>
      <w:rFonts w:ascii="Arial Narrow" w:eastAsia="Arial Narrow" w:hAnsi="Arial Narrow" w:cs="Arial Narrow"/>
      <w:b w:val="0"/>
      <w:bCs w:val="0"/>
      <w:i w:val="0"/>
      <w:iCs w:val="0"/>
      <w:smallCaps w:val="0"/>
      <w:strike w:val="0"/>
      <w:sz w:val="15"/>
      <w:szCs w:val="15"/>
      <w:u w:val="none"/>
    </w:rPr>
  </w:style>
  <w:style w:type="character" w:customStyle="1" w:styleId="41">
    <w:name w:val="Основной текст (4) + Курсив"/>
    <w:basedOn w:val="4"/>
    <w:rPr>
      <w:rFonts w:ascii="Arial Narrow" w:eastAsia="Arial Narrow" w:hAnsi="Arial Narrow" w:cs="Arial Narrow"/>
      <w:b w:val="0"/>
      <w:bCs w:val="0"/>
      <w:i/>
      <w:iCs/>
      <w:smallCaps w:val="0"/>
      <w:strike w:val="0"/>
      <w:color w:val="000000"/>
      <w:spacing w:val="0"/>
      <w:w w:val="100"/>
      <w:position w:val="0"/>
      <w:sz w:val="15"/>
      <w:szCs w:val="15"/>
      <w:u w:val="none"/>
      <w:lang w:val="en-US" w:eastAsia="en-US" w:bidi="en-US"/>
    </w:rPr>
  </w:style>
  <w:style w:type="character" w:customStyle="1" w:styleId="42">
    <w:name w:val="Основной текст (4) + Курсив"/>
    <w:basedOn w:val="4"/>
    <w:rPr>
      <w:rFonts w:ascii="Arial Narrow" w:eastAsia="Arial Narrow" w:hAnsi="Arial Narrow" w:cs="Arial Narrow"/>
      <w:b w:val="0"/>
      <w:bCs w:val="0"/>
      <w:i/>
      <w:iCs/>
      <w:smallCaps w:val="0"/>
      <w:strike w:val="0"/>
      <w:color w:val="000000"/>
      <w:spacing w:val="0"/>
      <w:w w:val="100"/>
      <w:position w:val="0"/>
      <w:sz w:val="15"/>
      <w:szCs w:val="15"/>
      <w:u w:val="none"/>
      <w:lang w:val="en-US" w:eastAsia="en-US" w:bidi="en-US"/>
    </w:rPr>
  </w:style>
  <w:style w:type="character" w:customStyle="1" w:styleId="1">
    <w:name w:val="Заголовок №1_"/>
    <w:basedOn w:val="a0"/>
    <w:link w:val="10"/>
    <w:rPr>
      <w:rFonts w:ascii="Arial" w:eastAsia="Arial" w:hAnsi="Arial" w:cs="Arial"/>
      <w:b w:val="0"/>
      <w:bCs w:val="0"/>
      <w:i w:val="0"/>
      <w:iCs w:val="0"/>
      <w:smallCaps w:val="0"/>
      <w:strike w:val="0"/>
      <w:sz w:val="16"/>
      <w:szCs w:val="16"/>
      <w:u w:val="none"/>
    </w:rPr>
  </w:style>
  <w:style w:type="character" w:customStyle="1" w:styleId="11">
    <w:name w:val="Заголовок №1"/>
    <w:basedOn w:val="1"/>
    <w:rPr>
      <w:rFonts w:ascii="Arial" w:eastAsia="Arial" w:hAnsi="Arial" w:cs="Arial"/>
      <w:b w:val="0"/>
      <w:bCs w:val="0"/>
      <w:i w:val="0"/>
      <w:iCs w:val="0"/>
      <w:smallCaps w:val="0"/>
      <w:strike w:val="0"/>
      <w:color w:val="000000"/>
      <w:spacing w:val="0"/>
      <w:w w:val="100"/>
      <w:position w:val="0"/>
      <w:sz w:val="16"/>
      <w:szCs w:val="16"/>
      <w:u w:val="none"/>
      <w:lang w:val="en-US" w:eastAsia="en-US" w:bidi="en-US"/>
    </w:rPr>
  </w:style>
  <w:style w:type="character" w:customStyle="1" w:styleId="a5">
    <w:name w:val="Основной текст + Курсив"/>
    <w:basedOn w:val="a4"/>
    <w:rPr>
      <w:rFonts w:ascii="Arial" w:eastAsia="Arial" w:hAnsi="Arial" w:cs="Arial"/>
      <w:b w:val="0"/>
      <w:bCs w:val="0"/>
      <w:i/>
      <w:iCs/>
      <w:smallCaps w:val="0"/>
      <w:strike w:val="0"/>
      <w:color w:val="000000"/>
      <w:spacing w:val="0"/>
      <w:w w:val="100"/>
      <w:position w:val="0"/>
      <w:sz w:val="11"/>
      <w:szCs w:val="11"/>
      <w:u w:val="none"/>
      <w:lang w:val="en-US" w:eastAsia="en-US" w:bidi="en-US"/>
    </w:rPr>
  </w:style>
  <w:style w:type="character" w:customStyle="1" w:styleId="a6">
    <w:name w:val="Основной текст + Полужирный"/>
    <w:basedOn w:val="a4"/>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a7">
    <w:name w:val="Основной текст + Полужирный"/>
    <w:basedOn w:val="a4"/>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12">
    <w:name w:val="Основной текст1"/>
    <w:basedOn w:val="a4"/>
    <w:rPr>
      <w:rFonts w:ascii="Arial" w:eastAsia="Arial" w:hAnsi="Arial" w:cs="Arial"/>
      <w:b w:val="0"/>
      <w:bCs w:val="0"/>
      <w:i w:val="0"/>
      <w:iCs w:val="0"/>
      <w:smallCaps w:val="0"/>
      <w:strike w:val="0"/>
      <w:color w:val="000000"/>
      <w:spacing w:val="0"/>
      <w:w w:val="100"/>
      <w:position w:val="0"/>
      <w:sz w:val="11"/>
      <w:szCs w:val="11"/>
      <w:u w:val="none"/>
      <w:lang w:val="en-US" w:eastAsia="en-US" w:bidi="en-US"/>
    </w:rPr>
  </w:style>
  <w:style w:type="character" w:customStyle="1" w:styleId="a8">
    <w:name w:val="Подпись к таблице_"/>
    <w:basedOn w:val="a0"/>
    <w:link w:val="a9"/>
    <w:rPr>
      <w:rFonts w:ascii="Arial" w:eastAsia="Arial" w:hAnsi="Arial" w:cs="Arial"/>
      <w:b/>
      <w:bCs/>
      <w:i w:val="0"/>
      <w:iCs w:val="0"/>
      <w:smallCaps w:val="0"/>
      <w:strike w:val="0"/>
      <w:sz w:val="11"/>
      <w:szCs w:val="11"/>
      <w:u w:val="none"/>
    </w:rPr>
  </w:style>
  <w:style w:type="character" w:customStyle="1" w:styleId="24">
    <w:name w:val="Основной текст (2) + Не полужирный"/>
    <w:basedOn w:val="22"/>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aa">
    <w:name w:val="Основной текст + Курсив"/>
    <w:basedOn w:val="a4"/>
    <w:rPr>
      <w:rFonts w:ascii="Arial" w:eastAsia="Arial" w:hAnsi="Arial" w:cs="Arial"/>
      <w:b w:val="0"/>
      <w:bCs w:val="0"/>
      <w:i/>
      <w:iCs/>
      <w:smallCaps w:val="0"/>
      <w:strike w:val="0"/>
      <w:color w:val="000000"/>
      <w:spacing w:val="0"/>
      <w:w w:val="100"/>
      <w:position w:val="0"/>
      <w:sz w:val="11"/>
      <w:szCs w:val="11"/>
      <w:u w:val="none"/>
      <w:lang w:val="en-US" w:eastAsia="en-US" w:bidi="en-US"/>
    </w:rPr>
  </w:style>
  <w:style w:type="character" w:customStyle="1" w:styleId="5">
    <w:name w:val="Основной текст (5)_"/>
    <w:basedOn w:val="a0"/>
    <w:link w:val="50"/>
    <w:rPr>
      <w:rFonts w:ascii="Tahoma" w:eastAsia="Tahoma" w:hAnsi="Tahoma" w:cs="Tahoma"/>
      <w:b/>
      <w:bCs/>
      <w:i w:val="0"/>
      <w:iCs w:val="0"/>
      <w:smallCaps w:val="0"/>
      <w:strike w:val="0"/>
      <w:sz w:val="9"/>
      <w:szCs w:val="9"/>
      <w:u w:val="none"/>
    </w:rPr>
  </w:style>
  <w:style w:type="character" w:customStyle="1" w:styleId="1pt">
    <w:name w:val="Основной текст + Интервал 1 pt"/>
    <w:basedOn w:val="a4"/>
    <w:rPr>
      <w:rFonts w:ascii="Arial" w:eastAsia="Arial" w:hAnsi="Arial" w:cs="Arial"/>
      <w:b w:val="0"/>
      <w:bCs w:val="0"/>
      <w:i w:val="0"/>
      <w:iCs w:val="0"/>
      <w:smallCaps w:val="0"/>
      <w:strike w:val="0"/>
      <w:color w:val="000000"/>
      <w:spacing w:val="20"/>
      <w:w w:val="100"/>
      <w:position w:val="0"/>
      <w:sz w:val="11"/>
      <w:szCs w:val="11"/>
      <w:u w:val="none"/>
      <w:lang w:val="en-US" w:eastAsia="en-US" w:bidi="en-US"/>
    </w:rPr>
  </w:style>
  <w:style w:type="character" w:customStyle="1" w:styleId="4pt">
    <w:name w:val="Основной текст + 4 pt"/>
    <w:basedOn w:val="a4"/>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5">
    <w:name w:val="Подпись к таблице (2)_"/>
    <w:basedOn w:val="a0"/>
    <w:link w:val="26"/>
    <w:rPr>
      <w:rFonts w:ascii="Arial" w:eastAsia="Arial" w:hAnsi="Arial" w:cs="Arial"/>
      <w:b w:val="0"/>
      <w:bCs w:val="0"/>
      <w:i w:val="0"/>
      <w:iCs w:val="0"/>
      <w:smallCaps w:val="0"/>
      <w:strike w:val="0"/>
      <w:sz w:val="11"/>
      <w:szCs w:val="11"/>
      <w:u w:val="none"/>
    </w:rPr>
  </w:style>
  <w:style w:type="character" w:customStyle="1" w:styleId="ab">
    <w:name w:val="Основной текст + Полужирный"/>
    <w:basedOn w:val="a4"/>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43">
    <w:name w:val="Заголовок №4_"/>
    <w:basedOn w:val="a0"/>
    <w:link w:val="44"/>
    <w:rPr>
      <w:rFonts w:ascii="Arial" w:eastAsia="Arial" w:hAnsi="Arial" w:cs="Arial"/>
      <w:b w:val="0"/>
      <w:bCs w:val="0"/>
      <w:i w:val="0"/>
      <w:iCs w:val="0"/>
      <w:smallCaps w:val="0"/>
      <w:strike w:val="0"/>
      <w:sz w:val="10"/>
      <w:szCs w:val="10"/>
      <w:u w:val="none"/>
    </w:rPr>
  </w:style>
  <w:style w:type="character" w:customStyle="1" w:styleId="45">
    <w:name w:val="Заголовок №4"/>
    <w:basedOn w:val="43"/>
    <w:rPr>
      <w:rFonts w:ascii="Arial" w:eastAsia="Arial" w:hAnsi="Arial" w:cs="Arial"/>
      <w:b w:val="0"/>
      <w:bCs w:val="0"/>
      <w:i w:val="0"/>
      <w:iCs w:val="0"/>
      <w:smallCaps w:val="0"/>
      <w:strike/>
      <w:color w:val="000000"/>
      <w:spacing w:val="0"/>
      <w:w w:val="100"/>
      <w:position w:val="0"/>
      <w:sz w:val="10"/>
      <w:szCs w:val="10"/>
      <w:u w:val="none"/>
      <w:lang w:val="en-US" w:eastAsia="en-US" w:bidi="en-US"/>
    </w:rPr>
  </w:style>
  <w:style w:type="character" w:customStyle="1" w:styleId="4Impact7pt">
    <w:name w:val="Заголовок №4 + Impact;7 pt;Курсив"/>
    <w:basedOn w:val="43"/>
    <w:rPr>
      <w:rFonts w:ascii="Impact" w:eastAsia="Impact" w:hAnsi="Impact" w:cs="Impact"/>
      <w:b w:val="0"/>
      <w:bCs w:val="0"/>
      <w:i/>
      <w:iCs/>
      <w:smallCaps w:val="0"/>
      <w:strike/>
      <w:color w:val="000000"/>
      <w:spacing w:val="0"/>
      <w:w w:val="100"/>
      <w:position w:val="0"/>
      <w:sz w:val="14"/>
      <w:szCs w:val="14"/>
      <w:u w:val="none"/>
      <w:lang w:val="en-US" w:eastAsia="en-US" w:bidi="en-US"/>
    </w:rPr>
  </w:style>
  <w:style w:type="character" w:customStyle="1" w:styleId="51">
    <w:name w:val="Заголовок №5_"/>
    <w:basedOn w:val="a0"/>
    <w:link w:val="52"/>
    <w:rPr>
      <w:rFonts w:ascii="Arial" w:eastAsia="Arial" w:hAnsi="Arial" w:cs="Arial"/>
      <w:b/>
      <w:bCs/>
      <w:i w:val="0"/>
      <w:iCs w:val="0"/>
      <w:smallCaps w:val="0"/>
      <w:strike w:val="0"/>
      <w:sz w:val="11"/>
      <w:szCs w:val="11"/>
      <w:u w:val="none"/>
    </w:rPr>
  </w:style>
  <w:style w:type="character" w:customStyle="1" w:styleId="ArialNarrow75pt">
    <w:name w:val="Основной текст + Arial Narrow;7;5 pt"/>
    <w:basedOn w:val="a4"/>
    <w:rPr>
      <w:rFonts w:ascii="Arial Narrow" w:eastAsia="Arial Narrow" w:hAnsi="Arial Narrow" w:cs="Arial Narrow"/>
      <w:b w:val="0"/>
      <w:bCs w:val="0"/>
      <w:i w:val="0"/>
      <w:iCs w:val="0"/>
      <w:smallCaps w:val="0"/>
      <w:strike w:val="0"/>
      <w:color w:val="000000"/>
      <w:spacing w:val="0"/>
      <w:w w:val="100"/>
      <w:position w:val="0"/>
      <w:sz w:val="15"/>
      <w:szCs w:val="15"/>
      <w:u w:val="none"/>
      <w:lang w:val="en-US" w:eastAsia="en-US" w:bidi="en-US"/>
    </w:rPr>
  </w:style>
  <w:style w:type="character" w:customStyle="1" w:styleId="ArialNarrow95pt200">
    <w:name w:val="Основной текст + Arial Narrow;9;5 pt;Полужирный;Масштаб 200%"/>
    <w:basedOn w:val="a4"/>
    <w:rPr>
      <w:rFonts w:ascii="Arial Narrow" w:eastAsia="Arial Narrow" w:hAnsi="Arial Narrow" w:cs="Arial Narrow"/>
      <w:b/>
      <w:bCs/>
      <w:i w:val="0"/>
      <w:iCs w:val="0"/>
      <w:smallCaps w:val="0"/>
      <w:strike w:val="0"/>
      <w:color w:val="000000"/>
      <w:spacing w:val="0"/>
      <w:w w:val="200"/>
      <w:position w:val="0"/>
      <w:sz w:val="19"/>
      <w:szCs w:val="19"/>
      <w:u w:val="none"/>
      <w:lang w:val="en-US" w:eastAsia="en-US" w:bidi="en-US"/>
    </w:rPr>
  </w:style>
  <w:style w:type="character" w:customStyle="1" w:styleId="Tahoma4pt">
    <w:name w:val="Основной текст + Tahoma;4 pt"/>
    <w:basedOn w:val="a4"/>
    <w:rPr>
      <w:rFonts w:ascii="Tahoma" w:eastAsia="Tahoma" w:hAnsi="Tahoma" w:cs="Tahoma"/>
      <w:b w:val="0"/>
      <w:bCs w:val="0"/>
      <w:i w:val="0"/>
      <w:iCs w:val="0"/>
      <w:smallCaps w:val="0"/>
      <w:strike w:val="0"/>
      <w:color w:val="000000"/>
      <w:spacing w:val="0"/>
      <w:w w:val="100"/>
      <w:position w:val="0"/>
      <w:sz w:val="8"/>
      <w:szCs w:val="8"/>
      <w:u w:val="none"/>
      <w:lang w:val="en-US" w:eastAsia="en-US" w:bidi="en-US"/>
    </w:rPr>
  </w:style>
  <w:style w:type="paragraph" w:customStyle="1" w:styleId="2">
    <w:name w:val="Основной текст2"/>
    <w:basedOn w:val="a"/>
    <w:link w:val="a4"/>
    <w:pPr>
      <w:shd w:val="clear" w:color="auto" w:fill="FFFFFF"/>
      <w:spacing w:after="120" w:line="134" w:lineRule="exact"/>
      <w:ind w:hanging="1420"/>
    </w:pPr>
    <w:rPr>
      <w:rFonts w:ascii="Arial" w:eastAsia="Arial" w:hAnsi="Arial" w:cs="Arial"/>
      <w:sz w:val="11"/>
      <w:szCs w:val="11"/>
    </w:rPr>
  </w:style>
  <w:style w:type="paragraph" w:customStyle="1" w:styleId="21">
    <w:name w:val="Заголовок №2"/>
    <w:basedOn w:val="a"/>
    <w:link w:val="20"/>
    <w:pPr>
      <w:shd w:val="clear" w:color="auto" w:fill="FFFFFF"/>
      <w:spacing w:before="120" w:after="120" w:line="0" w:lineRule="atLeast"/>
      <w:jc w:val="center"/>
      <w:outlineLvl w:val="1"/>
    </w:pPr>
    <w:rPr>
      <w:rFonts w:ascii="Arial" w:eastAsia="Arial" w:hAnsi="Arial" w:cs="Arial"/>
      <w:b/>
      <w:bCs/>
      <w:i/>
      <w:iCs/>
      <w:spacing w:val="-20"/>
    </w:rPr>
  </w:style>
  <w:style w:type="paragraph" w:customStyle="1" w:styleId="30">
    <w:name w:val="Заголовок №3"/>
    <w:basedOn w:val="a"/>
    <w:link w:val="3"/>
    <w:pPr>
      <w:shd w:val="clear" w:color="auto" w:fill="FFFFFF"/>
      <w:spacing w:before="120" w:after="120" w:line="0" w:lineRule="atLeast"/>
      <w:ind w:hanging="1420"/>
      <w:outlineLvl w:val="2"/>
    </w:pPr>
    <w:rPr>
      <w:rFonts w:ascii="Arial" w:eastAsia="Arial" w:hAnsi="Arial" w:cs="Arial"/>
      <w:sz w:val="16"/>
      <w:szCs w:val="16"/>
    </w:rPr>
  </w:style>
  <w:style w:type="paragraph" w:customStyle="1" w:styleId="23">
    <w:name w:val="Основной текст (2)"/>
    <w:basedOn w:val="a"/>
    <w:link w:val="22"/>
    <w:pPr>
      <w:shd w:val="clear" w:color="auto" w:fill="FFFFFF"/>
      <w:spacing w:before="120" w:line="149" w:lineRule="exact"/>
      <w:jc w:val="both"/>
    </w:pPr>
    <w:rPr>
      <w:rFonts w:ascii="Arial" w:eastAsia="Arial" w:hAnsi="Arial" w:cs="Arial"/>
      <w:b/>
      <w:bCs/>
      <w:sz w:val="11"/>
      <w:szCs w:val="11"/>
    </w:rPr>
  </w:style>
  <w:style w:type="paragraph" w:customStyle="1" w:styleId="32">
    <w:name w:val="Основной текст (3)"/>
    <w:basedOn w:val="a"/>
    <w:link w:val="31"/>
    <w:pPr>
      <w:shd w:val="clear" w:color="auto" w:fill="FFFFFF"/>
      <w:spacing w:line="149" w:lineRule="exact"/>
      <w:jc w:val="both"/>
    </w:pPr>
    <w:rPr>
      <w:rFonts w:ascii="Arial Narrow" w:eastAsia="Arial Narrow" w:hAnsi="Arial Narrow" w:cs="Arial Narrow"/>
      <w:sz w:val="16"/>
      <w:szCs w:val="16"/>
    </w:rPr>
  </w:style>
  <w:style w:type="paragraph" w:customStyle="1" w:styleId="40">
    <w:name w:val="Основной текст (4)"/>
    <w:basedOn w:val="a"/>
    <w:link w:val="4"/>
    <w:pPr>
      <w:shd w:val="clear" w:color="auto" w:fill="FFFFFF"/>
      <w:spacing w:after="120" w:line="0" w:lineRule="atLeast"/>
    </w:pPr>
    <w:rPr>
      <w:rFonts w:ascii="Arial Narrow" w:eastAsia="Arial Narrow" w:hAnsi="Arial Narrow" w:cs="Arial Narrow"/>
      <w:sz w:val="15"/>
      <w:szCs w:val="15"/>
    </w:rPr>
  </w:style>
  <w:style w:type="paragraph" w:customStyle="1" w:styleId="10">
    <w:name w:val="Заголовок №1"/>
    <w:basedOn w:val="a"/>
    <w:link w:val="1"/>
    <w:pPr>
      <w:shd w:val="clear" w:color="auto" w:fill="FFFFFF"/>
      <w:spacing w:before="120" w:line="139" w:lineRule="exact"/>
      <w:jc w:val="center"/>
      <w:outlineLvl w:val="0"/>
    </w:pPr>
    <w:rPr>
      <w:rFonts w:ascii="Arial" w:eastAsia="Arial" w:hAnsi="Arial" w:cs="Arial"/>
      <w:sz w:val="16"/>
      <w:szCs w:val="16"/>
    </w:rPr>
  </w:style>
  <w:style w:type="paragraph" w:customStyle="1" w:styleId="a9">
    <w:name w:val="Подпись к таблице"/>
    <w:basedOn w:val="a"/>
    <w:link w:val="a8"/>
    <w:pPr>
      <w:shd w:val="clear" w:color="auto" w:fill="FFFFFF"/>
      <w:spacing w:line="134" w:lineRule="exact"/>
      <w:jc w:val="both"/>
    </w:pPr>
    <w:rPr>
      <w:rFonts w:ascii="Arial" w:eastAsia="Arial" w:hAnsi="Arial" w:cs="Arial"/>
      <w:b/>
      <w:bCs/>
      <w:sz w:val="11"/>
      <w:szCs w:val="11"/>
    </w:rPr>
  </w:style>
  <w:style w:type="paragraph" w:customStyle="1" w:styleId="50">
    <w:name w:val="Основной текст (5)"/>
    <w:basedOn w:val="a"/>
    <w:link w:val="5"/>
    <w:pPr>
      <w:shd w:val="clear" w:color="auto" w:fill="FFFFFF"/>
      <w:spacing w:line="0" w:lineRule="atLeast"/>
      <w:jc w:val="both"/>
    </w:pPr>
    <w:rPr>
      <w:rFonts w:ascii="Tahoma" w:eastAsia="Tahoma" w:hAnsi="Tahoma" w:cs="Tahoma"/>
      <w:b/>
      <w:bCs/>
      <w:sz w:val="9"/>
      <w:szCs w:val="9"/>
    </w:rPr>
  </w:style>
  <w:style w:type="paragraph" w:customStyle="1" w:styleId="26">
    <w:name w:val="Подпись к таблице (2)"/>
    <w:basedOn w:val="a"/>
    <w:link w:val="25"/>
    <w:pPr>
      <w:shd w:val="clear" w:color="auto" w:fill="FFFFFF"/>
      <w:spacing w:line="139" w:lineRule="exact"/>
    </w:pPr>
    <w:rPr>
      <w:rFonts w:ascii="Arial" w:eastAsia="Arial" w:hAnsi="Arial" w:cs="Arial"/>
      <w:sz w:val="11"/>
      <w:szCs w:val="11"/>
    </w:rPr>
  </w:style>
  <w:style w:type="paragraph" w:customStyle="1" w:styleId="44">
    <w:name w:val="Заголовок №4"/>
    <w:basedOn w:val="a"/>
    <w:link w:val="43"/>
    <w:pPr>
      <w:shd w:val="clear" w:color="auto" w:fill="FFFFFF"/>
      <w:spacing w:line="144" w:lineRule="exact"/>
      <w:jc w:val="both"/>
      <w:outlineLvl w:val="3"/>
    </w:pPr>
    <w:rPr>
      <w:rFonts w:ascii="Arial" w:eastAsia="Arial" w:hAnsi="Arial" w:cs="Arial"/>
      <w:sz w:val="10"/>
      <w:szCs w:val="10"/>
    </w:rPr>
  </w:style>
  <w:style w:type="paragraph" w:customStyle="1" w:styleId="52">
    <w:name w:val="Заголовок №5"/>
    <w:basedOn w:val="a"/>
    <w:link w:val="51"/>
    <w:pPr>
      <w:shd w:val="clear" w:color="auto" w:fill="FFFFFF"/>
      <w:spacing w:line="0" w:lineRule="atLeast"/>
      <w:jc w:val="both"/>
      <w:outlineLvl w:val="4"/>
    </w:pPr>
    <w:rPr>
      <w:rFonts w:ascii="Arial" w:eastAsia="Arial" w:hAnsi="Arial" w:cs="Arial"/>
      <w:b/>
      <w:bCs/>
      <w:sz w:val="11"/>
      <w:szCs w:val="1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2"/>
    <w:rPr>
      <w:rFonts w:ascii="Arial" w:eastAsia="Arial" w:hAnsi="Arial" w:cs="Arial"/>
      <w:b w:val="0"/>
      <w:bCs w:val="0"/>
      <w:i w:val="0"/>
      <w:iCs w:val="0"/>
      <w:smallCaps w:val="0"/>
      <w:strike w:val="0"/>
      <w:sz w:val="11"/>
      <w:szCs w:val="11"/>
      <w:u w:val="none"/>
    </w:rPr>
  </w:style>
  <w:style w:type="character" w:customStyle="1" w:styleId="20">
    <w:name w:val="Заголовок №2_"/>
    <w:basedOn w:val="a0"/>
    <w:link w:val="21"/>
    <w:rPr>
      <w:rFonts w:ascii="Arial" w:eastAsia="Arial" w:hAnsi="Arial" w:cs="Arial"/>
      <w:b/>
      <w:bCs/>
      <w:i/>
      <w:iCs/>
      <w:smallCaps w:val="0"/>
      <w:strike w:val="0"/>
      <w:spacing w:val="-20"/>
      <w:u w:val="none"/>
    </w:rPr>
  </w:style>
  <w:style w:type="character" w:customStyle="1" w:styleId="3">
    <w:name w:val="Заголовок №3_"/>
    <w:basedOn w:val="a0"/>
    <w:link w:val="30"/>
    <w:rPr>
      <w:rFonts w:ascii="Arial" w:eastAsia="Arial" w:hAnsi="Arial" w:cs="Arial"/>
      <w:b w:val="0"/>
      <w:bCs w:val="0"/>
      <w:i w:val="0"/>
      <w:iCs w:val="0"/>
      <w:smallCaps w:val="0"/>
      <w:strike w:val="0"/>
      <w:sz w:val="16"/>
      <w:szCs w:val="16"/>
      <w:u w:val="none"/>
    </w:rPr>
  </w:style>
  <w:style w:type="character" w:customStyle="1" w:styleId="22">
    <w:name w:val="Основной текст (2)_"/>
    <w:basedOn w:val="a0"/>
    <w:link w:val="23"/>
    <w:rPr>
      <w:rFonts w:ascii="Arial" w:eastAsia="Arial" w:hAnsi="Arial" w:cs="Arial"/>
      <w:b/>
      <w:bCs/>
      <w:i w:val="0"/>
      <w:iCs w:val="0"/>
      <w:smallCaps w:val="0"/>
      <w:strike w:val="0"/>
      <w:sz w:val="11"/>
      <w:szCs w:val="11"/>
      <w:u w:val="none"/>
    </w:rPr>
  </w:style>
  <w:style w:type="character" w:customStyle="1" w:styleId="31">
    <w:name w:val="Основной текст (3)_"/>
    <w:basedOn w:val="a0"/>
    <w:link w:val="32"/>
    <w:rPr>
      <w:rFonts w:ascii="Arial Narrow" w:eastAsia="Arial Narrow" w:hAnsi="Arial Narrow" w:cs="Arial Narrow"/>
      <w:b w:val="0"/>
      <w:bCs w:val="0"/>
      <w:i w:val="0"/>
      <w:iCs w:val="0"/>
      <w:smallCaps w:val="0"/>
      <w:strike w:val="0"/>
      <w:sz w:val="16"/>
      <w:szCs w:val="16"/>
      <w:u w:val="none"/>
    </w:rPr>
  </w:style>
  <w:style w:type="character" w:customStyle="1" w:styleId="4">
    <w:name w:val="Основной текст (4)_"/>
    <w:basedOn w:val="a0"/>
    <w:link w:val="40"/>
    <w:rPr>
      <w:rFonts w:ascii="Arial Narrow" w:eastAsia="Arial Narrow" w:hAnsi="Arial Narrow" w:cs="Arial Narrow"/>
      <w:b w:val="0"/>
      <w:bCs w:val="0"/>
      <w:i w:val="0"/>
      <w:iCs w:val="0"/>
      <w:smallCaps w:val="0"/>
      <w:strike w:val="0"/>
      <w:sz w:val="15"/>
      <w:szCs w:val="15"/>
      <w:u w:val="none"/>
    </w:rPr>
  </w:style>
  <w:style w:type="character" w:customStyle="1" w:styleId="41">
    <w:name w:val="Основной текст (4) + Курсив"/>
    <w:basedOn w:val="4"/>
    <w:rPr>
      <w:rFonts w:ascii="Arial Narrow" w:eastAsia="Arial Narrow" w:hAnsi="Arial Narrow" w:cs="Arial Narrow"/>
      <w:b w:val="0"/>
      <w:bCs w:val="0"/>
      <w:i/>
      <w:iCs/>
      <w:smallCaps w:val="0"/>
      <w:strike w:val="0"/>
      <w:color w:val="000000"/>
      <w:spacing w:val="0"/>
      <w:w w:val="100"/>
      <w:position w:val="0"/>
      <w:sz w:val="15"/>
      <w:szCs w:val="15"/>
      <w:u w:val="none"/>
      <w:lang w:val="en-US" w:eastAsia="en-US" w:bidi="en-US"/>
    </w:rPr>
  </w:style>
  <w:style w:type="character" w:customStyle="1" w:styleId="42">
    <w:name w:val="Основной текст (4) + Курсив"/>
    <w:basedOn w:val="4"/>
    <w:rPr>
      <w:rFonts w:ascii="Arial Narrow" w:eastAsia="Arial Narrow" w:hAnsi="Arial Narrow" w:cs="Arial Narrow"/>
      <w:b w:val="0"/>
      <w:bCs w:val="0"/>
      <w:i/>
      <w:iCs/>
      <w:smallCaps w:val="0"/>
      <w:strike w:val="0"/>
      <w:color w:val="000000"/>
      <w:spacing w:val="0"/>
      <w:w w:val="100"/>
      <w:position w:val="0"/>
      <w:sz w:val="15"/>
      <w:szCs w:val="15"/>
      <w:u w:val="none"/>
      <w:lang w:val="en-US" w:eastAsia="en-US" w:bidi="en-US"/>
    </w:rPr>
  </w:style>
  <w:style w:type="character" w:customStyle="1" w:styleId="1">
    <w:name w:val="Заголовок №1_"/>
    <w:basedOn w:val="a0"/>
    <w:link w:val="10"/>
    <w:rPr>
      <w:rFonts w:ascii="Arial" w:eastAsia="Arial" w:hAnsi="Arial" w:cs="Arial"/>
      <w:b w:val="0"/>
      <w:bCs w:val="0"/>
      <w:i w:val="0"/>
      <w:iCs w:val="0"/>
      <w:smallCaps w:val="0"/>
      <w:strike w:val="0"/>
      <w:sz w:val="16"/>
      <w:szCs w:val="16"/>
      <w:u w:val="none"/>
    </w:rPr>
  </w:style>
  <w:style w:type="character" w:customStyle="1" w:styleId="11">
    <w:name w:val="Заголовок №1"/>
    <w:basedOn w:val="1"/>
    <w:rPr>
      <w:rFonts w:ascii="Arial" w:eastAsia="Arial" w:hAnsi="Arial" w:cs="Arial"/>
      <w:b w:val="0"/>
      <w:bCs w:val="0"/>
      <w:i w:val="0"/>
      <w:iCs w:val="0"/>
      <w:smallCaps w:val="0"/>
      <w:strike w:val="0"/>
      <w:color w:val="000000"/>
      <w:spacing w:val="0"/>
      <w:w w:val="100"/>
      <w:position w:val="0"/>
      <w:sz w:val="16"/>
      <w:szCs w:val="16"/>
      <w:u w:val="none"/>
      <w:lang w:val="en-US" w:eastAsia="en-US" w:bidi="en-US"/>
    </w:rPr>
  </w:style>
  <w:style w:type="character" w:customStyle="1" w:styleId="a5">
    <w:name w:val="Основной текст + Курсив"/>
    <w:basedOn w:val="a4"/>
    <w:rPr>
      <w:rFonts w:ascii="Arial" w:eastAsia="Arial" w:hAnsi="Arial" w:cs="Arial"/>
      <w:b w:val="0"/>
      <w:bCs w:val="0"/>
      <w:i/>
      <w:iCs/>
      <w:smallCaps w:val="0"/>
      <w:strike w:val="0"/>
      <w:color w:val="000000"/>
      <w:spacing w:val="0"/>
      <w:w w:val="100"/>
      <w:position w:val="0"/>
      <w:sz w:val="11"/>
      <w:szCs w:val="11"/>
      <w:u w:val="none"/>
      <w:lang w:val="en-US" w:eastAsia="en-US" w:bidi="en-US"/>
    </w:rPr>
  </w:style>
  <w:style w:type="character" w:customStyle="1" w:styleId="a6">
    <w:name w:val="Основной текст + Полужирный"/>
    <w:basedOn w:val="a4"/>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a7">
    <w:name w:val="Основной текст + Полужирный"/>
    <w:basedOn w:val="a4"/>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12">
    <w:name w:val="Основной текст1"/>
    <w:basedOn w:val="a4"/>
    <w:rPr>
      <w:rFonts w:ascii="Arial" w:eastAsia="Arial" w:hAnsi="Arial" w:cs="Arial"/>
      <w:b w:val="0"/>
      <w:bCs w:val="0"/>
      <w:i w:val="0"/>
      <w:iCs w:val="0"/>
      <w:smallCaps w:val="0"/>
      <w:strike w:val="0"/>
      <w:color w:val="000000"/>
      <w:spacing w:val="0"/>
      <w:w w:val="100"/>
      <w:position w:val="0"/>
      <w:sz w:val="11"/>
      <w:szCs w:val="11"/>
      <w:u w:val="none"/>
      <w:lang w:val="en-US" w:eastAsia="en-US" w:bidi="en-US"/>
    </w:rPr>
  </w:style>
  <w:style w:type="character" w:customStyle="1" w:styleId="a8">
    <w:name w:val="Подпись к таблице_"/>
    <w:basedOn w:val="a0"/>
    <w:link w:val="a9"/>
    <w:rPr>
      <w:rFonts w:ascii="Arial" w:eastAsia="Arial" w:hAnsi="Arial" w:cs="Arial"/>
      <w:b/>
      <w:bCs/>
      <w:i w:val="0"/>
      <w:iCs w:val="0"/>
      <w:smallCaps w:val="0"/>
      <w:strike w:val="0"/>
      <w:sz w:val="11"/>
      <w:szCs w:val="11"/>
      <w:u w:val="none"/>
    </w:rPr>
  </w:style>
  <w:style w:type="character" w:customStyle="1" w:styleId="24">
    <w:name w:val="Основной текст (2) + Не полужирный"/>
    <w:basedOn w:val="22"/>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aa">
    <w:name w:val="Основной текст + Курсив"/>
    <w:basedOn w:val="a4"/>
    <w:rPr>
      <w:rFonts w:ascii="Arial" w:eastAsia="Arial" w:hAnsi="Arial" w:cs="Arial"/>
      <w:b w:val="0"/>
      <w:bCs w:val="0"/>
      <w:i/>
      <w:iCs/>
      <w:smallCaps w:val="0"/>
      <w:strike w:val="0"/>
      <w:color w:val="000000"/>
      <w:spacing w:val="0"/>
      <w:w w:val="100"/>
      <w:position w:val="0"/>
      <w:sz w:val="11"/>
      <w:szCs w:val="11"/>
      <w:u w:val="none"/>
      <w:lang w:val="en-US" w:eastAsia="en-US" w:bidi="en-US"/>
    </w:rPr>
  </w:style>
  <w:style w:type="character" w:customStyle="1" w:styleId="5">
    <w:name w:val="Основной текст (5)_"/>
    <w:basedOn w:val="a0"/>
    <w:link w:val="50"/>
    <w:rPr>
      <w:rFonts w:ascii="Tahoma" w:eastAsia="Tahoma" w:hAnsi="Tahoma" w:cs="Tahoma"/>
      <w:b/>
      <w:bCs/>
      <w:i w:val="0"/>
      <w:iCs w:val="0"/>
      <w:smallCaps w:val="0"/>
      <w:strike w:val="0"/>
      <w:sz w:val="9"/>
      <w:szCs w:val="9"/>
      <w:u w:val="none"/>
    </w:rPr>
  </w:style>
  <w:style w:type="character" w:customStyle="1" w:styleId="1pt">
    <w:name w:val="Основной текст + Интервал 1 pt"/>
    <w:basedOn w:val="a4"/>
    <w:rPr>
      <w:rFonts w:ascii="Arial" w:eastAsia="Arial" w:hAnsi="Arial" w:cs="Arial"/>
      <w:b w:val="0"/>
      <w:bCs w:val="0"/>
      <w:i w:val="0"/>
      <w:iCs w:val="0"/>
      <w:smallCaps w:val="0"/>
      <w:strike w:val="0"/>
      <w:color w:val="000000"/>
      <w:spacing w:val="20"/>
      <w:w w:val="100"/>
      <w:position w:val="0"/>
      <w:sz w:val="11"/>
      <w:szCs w:val="11"/>
      <w:u w:val="none"/>
      <w:lang w:val="en-US" w:eastAsia="en-US" w:bidi="en-US"/>
    </w:rPr>
  </w:style>
  <w:style w:type="character" w:customStyle="1" w:styleId="4pt">
    <w:name w:val="Основной текст + 4 pt"/>
    <w:basedOn w:val="a4"/>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5">
    <w:name w:val="Подпись к таблице (2)_"/>
    <w:basedOn w:val="a0"/>
    <w:link w:val="26"/>
    <w:rPr>
      <w:rFonts w:ascii="Arial" w:eastAsia="Arial" w:hAnsi="Arial" w:cs="Arial"/>
      <w:b w:val="0"/>
      <w:bCs w:val="0"/>
      <w:i w:val="0"/>
      <w:iCs w:val="0"/>
      <w:smallCaps w:val="0"/>
      <w:strike w:val="0"/>
      <w:sz w:val="11"/>
      <w:szCs w:val="11"/>
      <w:u w:val="none"/>
    </w:rPr>
  </w:style>
  <w:style w:type="character" w:customStyle="1" w:styleId="ab">
    <w:name w:val="Основной текст + Полужирный"/>
    <w:basedOn w:val="a4"/>
    <w:rPr>
      <w:rFonts w:ascii="Arial" w:eastAsia="Arial" w:hAnsi="Arial" w:cs="Arial"/>
      <w:b/>
      <w:bCs/>
      <w:i w:val="0"/>
      <w:iCs w:val="0"/>
      <w:smallCaps w:val="0"/>
      <w:strike w:val="0"/>
      <w:color w:val="000000"/>
      <w:spacing w:val="0"/>
      <w:w w:val="100"/>
      <w:position w:val="0"/>
      <w:sz w:val="11"/>
      <w:szCs w:val="11"/>
      <w:u w:val="none"/>
      <w:lang w:val="en-US" w:eastAsia="en-US" w:bidi="en-US"/>
    </w:rPr>
  </w:style>
  <w:style w:type="character" w:customStyle="1" w:styleId="43">
    <w:name w:val="Заголовок №4_"/>
    <w:basedOn w:val="a0"/>
    <w:link w:val="44"/>
    <w:rPr>
      <w:rFonts w:ascii="Arial" w:eastAsia="Arial" w:hAnsi="Arial" w:cs="Arial"/>
      <w:b w:val="0"/>
      <w:bCs w:val="0"/>
      <w:i w:val="0"/>
      <w:iCs w:val="0"/>
      <w:smallCaps w:val="0"/>
      <w:strike w:val="0"/>
      <w:sz w:val="10"/>
      <w:szCs w:val="10"/>
      <w:u w:val="none"/>
    </w:rPr>
  </w:style>
  <w:style w:type="character" w:customStyle="1" w:styleId="45">
    <w:name w:val="Заголовок №4"/>
    <w:basedOn w:val="43"/>
    <w:rPr>
      <w:rFonts w:ascii="Arial" w:eastAsia="Arial" w:hAnsi="Arial" w:cs="Arial"/>
      <w:b w:val="0"/>
      <w:bCs w:val="0"/>
      <w:i w:val="0"/>
      <w:iCs w:val="0"/>
      <w:smallCaps w:val="0"/>
      <w:strike/>
      <w:color w:val="000000"/>
      <w:spacing w:val="0"/>
      <w:w w:val="100"/>
      <w:position w:val="0"/>
      <w:sz w:val="10"/>
      <w:szCs w:val="10"/>
      <w:u w:val="none"/>
      <w:lang w:val="en-US" w:eastAsia="en-US" w:bidi="en-US"/>
    </w:rPr>
  </w:style>
  <w:style w:type="character" w:customStyle="1" w:styleId="4Impact7pt">
    <w:name w:val="Заголовок №4 + Impact;7 pt;Курсив"/>
    <w:basedOn w:val="43"/>
    <w:rPr>
      <w:rFonts w:ascii="Impact" w:eastAsia="Impact" w:hAnsi="Impact" w:cs="Impact"/>
      <w:b w:val="0"/>
      <w:bCs w:val="0"/>
      <w:i/>
      <w:iCs/>
      <w:smallCaps w:val="0"/>
      <w:strike/>
      <w:color w:val="000000"/>
      <w:spacing w:val="0"/>
      <w:w w:val="100"/>
      <w:position w:val="0"/>
      <w:sz w:val="14"/>
      <w:szCs w:val="14"/>
      <w:u w:val="none"/>
      <w:lang w:val="en-US" w:eastAsia="en-US" w:bidi="en-US"/>
    </w:rPr>
  </w:style>
  <w:style w:type="character" w:customStyle="1" w:styleId="51">
    <w:name w:val="Заголовок №5_"/>
    <w:basedOn w:val="a0"/>
    <w:link w:val="52"/>
    <w:rPr>
      <w:rFonts w:ascii="Arial" w:eastAsia="Arial" w:hAnsi="Arial" w:cs="Arial"/>
      <w:b/>
      <w:bCs/>
      <w:i w:val="0"/>
      <w:iCs w:val="0"/>
      <w:smallCaps w:val="0"/>
      <w:strike w:val="0"/>
      <w:sz w:val="11"/>
      <w:szCs w:val="11"/>
      <w:u w:val="none"/>
    </w:rPr>
  </w:style>
  <w:style w:type="character" w:customStyle="1" w:styleId="ArialNarrow75pt">
    <w:name w:val="Основной текст + Arial Narrow;7;5 pt"/>
    <w:basedOn w:val="a4"/>
    <w:rPr>
      <w:rFonts w:ascii="Arial Narrow" w:eastAsia="Arial Narrow" w:hAnsi="Arial Narrow" w:cs="Arial Narrow"/>
      <w:b w:val="0"/>
      <w:bCs w:val="0"/>
      <w:i w:val="0"/>
      <w:iCs w:val="0"/>
      <w:smallCaps w:val="0"/>
      <w:strike w:val="0"/>
      <w:color w:val="000000"/>
      <w:spacing w:val="0"/>
      <w:w w:val="100"/>
      <w:position w:val="0"/>
      <w:sz w:val="15"/>
      <w:szCs w:val="15"/>
      <w:u w:val="none"/>
      <w:lang w:val="en-US" w:eastAsia="en-US" w:bidi="en-US"/>
    </w:rPr>
  </w:style>
  <w:style w:type="character" w:customStyle="1" w:styleId="ArialNarrow95pt200">
    <w:name w:val="Основной текст + Arial Narrow;9;5 pt;Полужирный;Масштаб 200%"/>
    <w:basedOn w:val="a4"/>
    <w:rPr>
      <w:rFonts w:ascii="Arial Narrow" w:eastAsia="Arial Narrow" w:hAnsi="Arial Narrow" w:cs="Arial Narrow"/>
      <w:b/>
      <w:bCs/>
      <w:i w:val="0"/>
      <w:iCs w:val="0"/>
      <w:smallCaps w:val="0"/>
      <w:strike w:val="0"/>
      <w:color w:val="000000"/>
      <w:spacing w:val="0"/>
      <w:w w:val="200"/>
      <w:position w:val="0"/>
      <w:sz w:val="19"/>
      <w:szCs w:val="19"/>
      <w:u w:val="none"/>
      <w:lang w:val="en-US" w:eastAsia="en-US" w:bidi="en-US"/>
    </w:rPr>
  </w:style>
  <w:style w:type="character" w:customStyle="1" w:styleId="Tahoma4pt">
    <w:name w:val="Основной текст + Tahoma;4 pt"/>
    <w:basedOn w:val="a4"/>
    <w:rPr>
      <w:rFonts w:ascii="Tahoma" w:eastAsia="Tahoma" w:hAnsi="Tahoma" w:cs="Tahoma"/>
      <w:b w:val="0"/>
      <w:bCs w:val="0"/>
      <w:i w:val="0"/>
      <w:iCs w:val="0"/>
      <w:smallCaps w:val="0"/>
      <w:strike w:val="0"/>
      <w:color w:val="000000"/>
      <w:spacing w:val="0"/>
      <w:w w:val="100"/>
      <w:position w:val="0"/>
      <w:sz w:val="8"/>
      <w:szCs w:val="8"/>
      <w:u w:val="none"/>
      <w:lang w:val="en-US" w:eastAsia="en-US" w:bidi="en-US"/>
    </w:rPr>
  </w:style>
  <w:style w:type="paragraph" w:customStyle="1" w:styleId="2">
    <w:name w:val="Основной текст2"/>
    <w:basedOn w:val="a"/>
    <w:link w:val="a4"/>
    <w:pPr>
      <w:shd w:val="clear" w:color="auto" w:fill="FFFFFF"/>
      <w:spacing w:after="120" w:line="134" w:lineRule="exact"/>
      <w:ind w:hanging="1420"/>
    </w:pPr>
    <w:rPr>
      <w:rFonts w:ascii="Arial" w:eastAsia="Arial" w:hAnsi="Arial" w:cs="Arial"/>
      <w:sz w:val="11"/>
      <w:szCs w:val="11"/>
    </w:rPr>
  </w:style>
  <w:style w:type="paragraph" w:customStyle="1" w:styleId="21">
    <w:name w:val="Заголовок №2"/>
    <w:basedOn w:val="a"/>
    <w:link w:val="20"/>
    <w:pPr>
      <w:shd w:val="clear" w:color="auto" w:fill="FFFFFF"/>
      <w:spacing w:before="120" w:after="120" w:line="0" w:lineRule="atLeast"/>
      <w:jc w:val="center"/>
      <w:outlineLvl w:val="1"/>
    </w:pPr>
    <w:rPr>
      <w:rFonts w:ascii="Arial" w:eastAsia="Arial" w:hAnsi="Arial" w:cs="Arial"/>
      <w:b/>
      <w:bCs/>
      <w:i/>
      <w:iCs/>
      <w:spacing w:val="-20"/>
    </w:rPr>
  </w:style>
  <w:style w:type="paragraph" w:customStyle="1" w:styleId="30">
    <w:name w:val="Заголовок №3"/>
    <w:basedOn w:val="a"/>
    <w:link w:val="3"/>
    <w:pPr>
      <w:shd w:val="clear" w:color="auto" w:fill="FFFFFF"/>
      <w:spacing w:before="120" w:after="120" w:line="0" w:lineRule="atLeast"/>
      <w:ind w:hanging="1420"/>
      <w:outlineLvl w:val="2"/>
    </w:pPr>
    <w:rPr>
      <w:rFonts w:ascii="Arial" w:eastAsia="Arial" w:hAnsi="Arial" w:cs="Arial"/>
      <w:sz w:val="16"/>
      <w:szCs w:val="16"/>
    </w:rPr>
  </w:style>
  <w:style w:type="paragraph" w:customStyle="1" w:styleId="23">
    <w:name w:val="Основной текст (2)"/>
    <w:basedOn w:val="a"/>
    <w:link w:val="22"/>
    <w:pPr>
      <w:shd w:val="clear" w:color="auto" w:fill="FFFFFF"/>
      <w:spacing w:before="120" w:line="149" w:lineRule="exact"/>
      <w:jc w:val="both"/>
    </w:pPr>
    <w:rPr>
      <w:rFonts w:ascii="Arial" w:eastAsia="Arial" w:hAnsi="Arial" w:cs="Arial"/>
      <w:b/>
      <w:bCs/>
      <w:sz w:val="11"/>
      <w:szCs w:val="11"/>
    </w:rPr>
  </w:style>
  <w:style w:type="paragraph" w:customStyle="1" w:styleId="32">
    <w:name w:val="Основной текст (3)"/>
    <w:basedOn w:val="a"/>
    <w:link w:val="31"/>
    <w:pPr>
      <w:shd w:val="clear" w:color="auto" w:fill="FFFFFF"/>
      <w:spacing w:line="149" w:lineRule="exact"/>
      <w:jc w:val="both"/>
    </w:pPr>
    <w:rPr>
      <w:rFonts w:ascii="Arial Narrow" w:eastAsia="Arial Narrow" w:hAnsi="Arial Narrow" w:cs="Arial Narrow"/>
      <w:sz w:val="16"/>
      <w:szCs w:val="16"/>
    </w:rPr>
  </w:style>
  <w:style w:type="paragraph" w:customStyle="1" w:styleId="40">
    <w:name w:val="Основной текст (4)"/>
    <w:basedOn w:val="a"/>
    <w:link w:val="4"/>
    <w:pPr>
      <w:shd w:val="clear" w:color="auto" w:fill="FFFFFF"/>
      <w:spacing w:after="120" w:line="0" w:lineRule="atLeast"/>
    </w:pPr>
    <w:rPr>
      <w:rFonts w:ascii="Arial Narrow" w:eastAsia="Arial Narrow" w:hAnsi="Arial Narrow" w:cs="Arial Narrow"/>
      <w:sz w:val="15"/>
      <w:szCs w:val="15"/>
    </w:rPr>
  </w:style>
  <w:style w:type="paragraph" w:customStyle="1" w:styleId="10">
    <w:name w:val="Заголовок №1"/>
    <w:basedOn w:val="a"/>
    <w:link w:val="1"/>
    <w:pPr>
      <w:shd w:val="clear" w:color="auto" w:fill="FFFFFF"/>
      <w:spacing w:before="120" w:line="139" w:lineRule="exact"/>
      <w:jc w:val="center"/>
      <w:outlineLvl w:val="0"/>
    </w:pPr>
    <w:rPr>
      <w:rFonts w:ascii="Arial" w:eastAsia="Arial" w:hAnsi="Arial" w:cs="Arial"/>
      <w:sz w:val="16"/>
      <w:szCs w:val="16"/>
    </w:rPr>
  </w:style>
  <w:style w:type="paragraph" w:customStyle="1" w:styleId="a9">
    <w:name w:val="Подпись к таблице"/>
    <w:basedOn w:val="a"/>
    <w:link w:val="a8"/>
    <w:pPr>
      <w:shd w:val="clear" w:color="auto" w:fill="FFFFFF"/>
      <w:spacing w:line="134" w:lineRule="exact"/>
      <w:jc w:val="both"/>
    </w:pPr>
    <w:rPr>
      <w:rFonts w:ascii="Arial" w:eastAsia="Arial" w:hAnsi="Arial" w:cs="Arial"/>
      <w:b/>
      <w:bCs/>
      <w:sz w:val="11"/>
      <w:szCs w:val="11"/>
    </w:rPr>
  </w:style>
  <w:style w:type="paragraph" w:customStyle="1" w:styleId="50">
    <w:name w:val="Основной текст (5)"/>
    <w:basedOn w:val="a"/>
    <w:link w:val="5"/>
    <w:pPr>
      <w:shd w:val="clear" w:color="auto" w:fill="FFFFFF"/>
      <w:spacing w:line="0" w:lineRule="atLeast"/>
      <w:jc w:val="both"/>
    </w:pPr>
    <w:rPr>
      <w:rFonts w:ascii="Tahoma" w:eastAsia="Tahoma" w:hAnsi="Tahoma" w:cs="Tahoma"/>
      <w:b/>
      <w:bCs/>
      <w:sz w:val="9"/>
      <w:szCs w:val="9"/>
    </w:rPr>
  </w:style>
  <w:style w:type="paragraph" w:customStyle="1" w:styleId="26">
    <w:name w:val="Подпись к таблице (2)"/>
    <w:basedOn w:val="a"/>
    <w:link w:val="25"/>
    <w:pPr>
      <w:shd w:val="clear" w:color="auto" w:fill="FFFFFF"/>
      <w:spacing w:line="139" w:lineRule="exact"/>
    </w:pPr>
    <w:rPr>
      <w:rFonts w:ascii="Arial" w:eastAsia="Arial" w:hAnsi="Arial" w:cs="Arial"/>
      <w:sz w:val="11"/>
      <w:szCs w:val="11"/>
    </w:rPr>
  </w:style>
  <w:style w:type="paragraph" w:customStyle="1" w:styleId="44">
    <w:name w:val="Заголовок №4"/>
    <w:basedOn w:val="a"/>
    <w:link w:val="43"/>
    <w:pPr>
      <w:shd w:val="clear" w:color="auto" w:fill="FFFFFF"/>
      <w:spacing w:line="144" w:lineRule="exact"/>
      <w:jc w:val="both"/>
      <w:outlineLvl w:val="3"/>
    </w:pPr>
    <w:rPr>
      <w:rFonts w:ascii="Arial" w:eastAsia="Arial" w:hAnsi="Arial" w:cs="Arial"/>
      <w:sz w:val="10"/>
      <w:szCs w:val="10"/>
    </w:rPr>
  </w:style>
  <w:style w:type="paragraph" w:customStyle="1" w:styleId="52">
    <w:name w:val="Заголовок №5"/>
    <w:basedOn w:val="a"/>
    <w:link w:val="51"/>
    <w:pPr>
      <w:shd w:val="clear" w:color="auto" w:fill="FFFFFF"/>
      <w:spacing w:line="0" w:lineRule="atLeast"/>
      <w:jc w:val="both"/>
      <w:outlineLvl w:val="4"/>
    </w:pPr>
    <w:rPr>
      <w:rFonts w:ascii="Arial" w:eastAsia="Arial" w:hAnsi="Arial" w:cs="Arial"/>
      <w:b/>
      <w:bCs/>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3376</Words>
  <Characters>20751</Characters>
  <Application>Microsoft Office Word</Application>
  <DocSecurity>0</DocSecurity>
  <Lines>533</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2</cp:revision>
  <dcterms:created xsi:type="dcterms:W3CDTF">2015-11-27T15:13:00Z</dcterms:created>
  <dcterms:modified xsi:type="dcterms:W3CDTF">2015-11-30T09:33:00Z</dcterms:modified>
</cp:coreProperties>
</file>