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36B" w:rsidRDefault="00ED536B" w:rsidP="0027624C">
      <w:pPr>
        <w:spacing w:after="56"/>
        <w:ind w:right="-2"/>
      </w:pPr>
      <w:bookmarkStart w:id="0" w:name="_GoBack"/>
      <w:bookmarkEnd w:id="0"/>
      <w:r>
        <w:rPr>
          <w:noProof/>
        </w:rPr>
        <w:drawing>
          <wp:inline distT="0" distB="0" distL="0" distR="0" wp14:anchorId="3A1B8815" wp14:editId="4D4053E9">
            <wp:extent cx="6692405" cy="1191412"/>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a:stretch>
                      <a:fillRect/>
                    </a:stretch>
                  </pic:blipFill>
                  <pic:spPr>
                    <a:xfrm>
                      <a:off x="0" y="0"/>
                      <a:ext cx="6692405" cy="1191412"/>
                    </a:xfrm>
                    <a:prstGeom prst="rect">
                      <a:avLst/>
                    </a:prstGeom>
                  </pic:spPr>
                </pic:pic>
              </a:graphicData>
            </a:graphic>
          </wp:inline>
        </w:drawing>
      </w:r>
    </w:p>
    <w:p w:rsidR="00ED536B" w:rsidRPr="00ED536B" w:rsidRDefault="00ED536B" w:rsidP="0027624C">
      <w:pPr>
        <w:spacing w:after="4"/>
        <w:ind w:left="-5" w:hanging="10"/>
      </w:pPr>
      <w:r w:rsidRPr="00ED536B">
        <w:rPr>
          <w:rFonts w:ascii="Calibri" w:eastAsia="Calibri" w:hAnsi="Calibri" w:cs="Calibri"/>
        </w:rPr>
        <w:t xml:space="preserve">Изданный по </w:t>
      </w:r>
      <w:r w:rsidRPr="00ED536B">
        <w:rPr>
          <w:rFonts w:ascii="Calibri" w:eastAsia="Calibri" w:hAnsi="Calibri" w:cs="Calibri"/>
          <w:i/>
        </w:rPr>
        <w:t>рекомендациям для тестирования, управления и лечения гепатита С</w:t>
      </w:r>
    </w:p>
    <w:p w:rsidR="00ED536B" w:rsidRPr="00ED536B" w:rsidRDefault="00ED536B" w:rsidP="0027624C">
      <w:pPr>
        <w:spacing w:after="444"/>
      </w:pPr>
      <w:r w:rsidRPr="00ED536B">
        <w:rPr>
          <w:rFonts w:ascii="Calibri" w:eastAsia="Calibri" w:hAnsi="Calibri" w:cs="Calibri"/>
        </w:rPr>
        <w:t>(</w:t>
      </w:r>
      <w:hyperlink r:id="rId6">
        <w:r w:rsidRPr="00AF60BF">
          <w:rPr>
            <w:rFonts w:ascii="Calibri" w:eastAsia="Calibri" w:hAnsi="Calibri" w:cs="Calibri"/>
            <w:color w:val="0000FF"/>
            <w:u w:val="single" w:color="0000FF"/>
            <w:lang w:val="en-US"/>
          </w:rPr>
          <w:t>http</w:t>
        </w:r>
        <w:r w:rsidRPr="00ED536B">
          <w:rPr>
            <w:rFonts w:ascii="Calibri" w:eastAsia="Calibri" w:hAnsi="Calibri" w:cs="Calibri"/>
            <w:color w:val="0000FF"/>
            <w:u w:val="single" w:color="0000FF"/>
          </w:rPr>
          <w:t>://</w:t>
        </w:r>
        <w:r w:rsidRPr="00AF60BF">
          <w:rPr>
            <w:rFonts w:ascii="Calibri" w:eastAsia="Calibri" w:hAnsi="Calibri" w:cs="Calibri"/>
            <w:color w:val="0000FF"/>
            <w:u w:val="single" w:color="0000FF"/>
            <w:lang w:val="en-US"/>
          </w:rPr>
          <w:t>www</w:t>
        </w:r>
        <w:r w:rsidRPr="00ED536B">
          <w:rPr>
            <w:rFonts w:ascii="Calibri" w:eastAsia="Calibri" w:hAnsi="Calibri" w:cs="Calibri"/>
            <w:color w:val="0000FF"/>
            <w:u w:val="single" w:color="0000FF"/>
          </w:rPr>
          <w:t>.</w:t>
        </w:r>
        <w:r w:rsidRPr="00AF60BF">
          <w:rPr>
            <w:rFonts w:ascii="Calibri" w:eastAsia="Calibri" w:hAnsi="Calibri" w:cs="Calibri"/>
            <w:color w:val="0000FF"/>
            <w:u w:val="single" w:color="0000FF"/>
            <w:lang w:val="en-US"/>
          </w:rPr>
          <w:t>hcvguidelines</w:t>
        </w:r>
        <w:r w:rsidRPr="00ED536B">
          <w:rPr>
            <w:rFonts w:ascii="Calibri" w:eastAsia="Calibri" w:hAnsi="Calibri" w:cs="Calibri"/>
            <w:color w:val="0000FF"/>
            <w:u w:val="single" w:color="0000FF"/>
          </w:rPr>
          <w:t>.</w:t>
        </w:r>
        <w:r w:rsidRPr="00AF60BF">
          <w:rPr>
            <w:rFonts w:ascii="Calibri" w:eastAsia="Calibri" w:hAnsi="Calibri" w:cs="Calibri"/>
            <w:color w:val="0000FF"/>
            <w:u w:val="single" w:color="0000FF"/>
            <w:lang w:val="en-US"/>
          </w:rPr>
          <w:t>org</w:t>
        </w:r>
      </w:hyperlink>
      <w:r w:rsidRPr="00ED536B">
        <w:rPr>
          <w:rFonts w:ascii="Calibri" w:eastAsia="Calibri" w:hAnsi="Calibri" w:cs="Calibri"/>
        </w:rPr>
        <w:t>)</w:t>
      </w:r>
    </w:p>
    <w:p w:rsidR="00ED536B" w:rsidRPr="00ED536B" w:rsidRDefault="00ED536B" w:rsidP="0027624C">
      <w:pPr>
        <w:spacing w:after="0"/>
      </w:pPr>
      <w:hyperlink r:id="rId7">
        <w:r w:rsidRPr="00ED536B">
          <w:rPr>
            <w:rFonts w:ascii="Calibri" w:eastAsia="Calibri" w:hAnsi="Calibri" w:cs="Calibri"/>
            <w:color w:val="0000FF"/>
            <w:sz w:val="17"/>
            <w:u w:val="single" w:color="0000FF"/>
          </w:rPr>
          <w:t>Дом</w:t>
        </w:r>
      </w:hyperlink>
      <w:r w:rsidRPr="00ED536B">
        <w:rPr>
          <w:rFonts w:ascii="Calibri" w:eastAsia="Calibri" w:hAnsi="Calibri" w:cs="Calibri"/>
          <w:sz w:val="17"/>
        </w:rPr>
        <w:t>&gt; Контролирующие Пациенты, Начинающие Лечение Гепатита С, находится на Лечении или Закончил Терапию</w:t>
      </w:r>
    </w:p>
    <w:p w:rsidR="00ED536B" w:rsidRDefault="00ED536B" w:rsidP="0027624C">
      <w:pPr>
        <w:spacing w:after="522"/>
        <w:ind w:right="-2"/>
      </w:pPr>
      <w:r>
        <w:rPr>
          <w:noProof/>
        </w:rPr>
        <mc:AlternateContent>
          <mc:Choice Requires="wpg">
            <w:drawing>
              <wp:inline distT="0" distB="0" distL="0" distR="0" wp14:anchorId="37DFFA05" wp14:editId="26876CA2">
                <wp:extent cx="6692392" cy="9525"/>
                <wp:effectExtent l="0" t="0" r="0" b="0"/>
                <wp:docPr id="9386" name="Group 9386"/>
                <wp:cNvGraphicFramePr/>
                <a:graphic xmlns:a="http://schemas.openxmlformats.org/drawingml/2006/main">
                  <a:graphicData uri="http://schemas.microsoft.com/office/word/2010/wordprocessingGroup">
                    <wpg:wgp>
                      <wpg:cNvGrpSpPr/>
                      <wpg:grpSpPr>
                        <a:xfrm>
                          <a:off x="0" y="0"/>
                          <a:ext cx="6692392" cy="9525"/>
                          <a:chOff x="0" y="0"/>
                          <a:chExt cx="6692392" cy="9525"/>
                        </a:xfrm>
                      </wpg:grpSpPr>
                      <wps:wsp>
                        <wps:cNvPr id="19" name="Shape 19"/>
                        <wps:cNvSpPr/>
                        <wps:spPr>
                          <a:xfrm>
                            <a:off x="0" y="0"/>
                            <a:ext cx="6692392" cy="0"/>
                          </a:xfrm>
                          <a:custGeom>
                            <a:avLst/>
                            <a:gdLst/>
                            <a:ahLst/>
                            <a:cxnLst/>
                            <a:rect l="0" t="0" r="0" b="0"/>
                            <a:pathLst>
                              <a:path w="6692392">
                                <a:moveTo>
                                  <a:pt x="0" y="0"/>
                                </a:moveTo>
                                <a:lnTo>
                                  <a:pt x="6692392" y="0"/>
                                </a:lnTo>
                              </a:path>
                            </a:pathLst>
                          </a:custGeom>
                          <a:ln w="9525" cap="sq">
                            <a:miter lim="127000"/>
                          </a:ln>
                        </wps:spPr>
                        <wps:style>
                          <a:lnRef idx="1">
                            <a:srgbClr val="9E9E9E"/>
                          </a:lnRef>
                          <a:fillRef idx="0">
                            <a:srgbClr val="000000">
                              <a:alpha val="0"/>
                            </a:srgbClr>
                          </a:fillRef>
                          <a:effectRef idx="0">
                            <a:scrgbClr r="0" g="0" b="0"/>
                          </a:effectRef>
                          <a:fontRef idx="none"/>
                        </wps:style>
                        <wps:bodyPr/>
                      </wps:wsp>
                    </wpg:wgp>
                  </a:graphicData>
                </a:graphic>
              </wp:inline>
            </w:drawing>
          </mc:Choice>
          <mc:Fallback>
            <w:pict>
              <v:group w14:anchorId="040C27DA" id="Group 9386" o:spid="_x0000_s1026" style="width:526.95pt;height:.75pt;mso-position-horizontal-relative:char;mso-position-vertical-relative:line" coordsize="669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">
                <v:shape id="Shape 19" o:spid="_x0000_s1027" style="position:absolute;width:66923;height:0;visibility:visible;mso-wrap-style:square;v-text-anchor:top" coordsize="6692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" path="m,l6692392,e" filled="f" strokecolor="#9e9e9e">
                  <v:stroke miterlimit="83231f" joinstyle="miter" endcap="square"/>
                  <v:path arrowok="t" textboxrect="0,0,6692392,0"/>
                </v:shape>
                <w10:anchorlock/>
              </v:group>
            </w:pict>
          </mc:Fallback>
        </mc:AlternateContent>
      </w:r>
    </w:p>
    <w:p w:rsidR="00ED536B" w:rsidRPr="00ED536B" w:rsidRDefault="00ED536B" w:rsidP="0027624C">
      <w:pPr>
        <w:spacing w:after="4"/>
        <w:ind w:left="-5" w:hanging="10"/>
      </w:pPr>
      <w:r w:rsidRPr="00ED536B">
        <w:rPr>
          <w:rFonts w:ascii="Calibri" w:eastAsia="Calibri" w:hAnsi="Calibri" w:cs="Calibri"/>
          <w:b/>
          <w:sz w:val="33"/>
        </w:rPr>
        <w:t>КОНТРОЛЬ ПАЦИЕНТОВ, НАЧИНАЮЩИХ ГЕПАТИТ С</w:t>
      </w:r>
    </w:p>
    <w:p w:rsidR="00ED536B" w:rsidRPr="00ED536B" w:rsidRDefault="00ED536B" w:rsidP="0027624C">
      <w:pPr>
        <w:spacing w:after="4"/>
        <w:ind w:left="-5" w:hanging="10"/>
      </w:pPr>
      <w:r w:rsidRPr="00ED536B">
        <w:rPr>
          <w:rFonts w:ascii="Calibri" w:eastAsia="Calibri" w:hAnsi="Calibri" w:cs="Calibri"/>
          <w:b/>
          <w:sz w:val="33"/>
        </w:rPr>
        <w:t>ЛЕЧЕНИЕ, НАХОДЯТСЯ НА ЛЕЧЕНИИ ИЛИ ЗАКОНЧИЛИ</w:t>
      </w:r>
    </w:p>
    <w:p w:rsidR="00ED536B" w:rsidRPr="00ED536B" w:rsidRDefault="00ED536B" w:rsidP="0027624C">
      <w:pPr>
        <w:spacing w:after="387"/>
        <w:ind w:left="-5" w:hanging="10"/>
      </w:pPr>
      <w:r w:rsidRPr="00ED536B">
        <w:rPr>
          <w:rFonts w:ascii="Calibri" w:eastAsia="Calibri" w:hAnsi="Calibri" w:cs="Calibri"/>
          <w:b/>
          <w:sz w:val="33"/>
        </w:rPr>
        <w:t>ТЕРАПИЯ</w:t>
      </w:r>
    </w:p>
    <w:p w:rsidR="00ED536B" w:rsidRPr="00ED536B" w:rsidRDefault="00ED536B" w:rsidP="0027624C">
      <w:pPr>
        <w:spacing w:after="247" w:line="262" w:lineRule="auto"/>
        <w:ind w:left="-5" w:right="24" w:hanging="10"/>
      </w:pPr>
      <w:r w:rsidRPr="00ED536B">
        <w:rPr>
          <w:rFonts w:ascii="Calibri" w:eastAsia="Calibri" w:hAnsi="Calibri" w:cs="Calibri"/>
        </w:rPr>
        <w:t xml:space="preserve">Расширения и примечания для сокращений, используемых в этой секции, могут быть найдены в </w:t>
      </w:r>
      <w:hyperlink r:id="rId8">
        <w:r w:rsidRPr="00ED536B">
          <w:rPr>
            <w:rFonts w:ascii="Calibri" w:eastAsia="Calibri" w:hAnsi="Calibri" w:cs="Calibri"/>
            <w:color w:val="0000FF"/>
            <w:u w:val="single" w:color="0000FF"/>
          </w:rPr>
          <w:t>Таблице 3 [1] Методов</w:t>
        </w:r>
      </w:hyperlink>
      <w:r w:rsidRPr="00ED536B">
        <w:rPr>
          <w:rFonts w:ascii="Calibri" w:eastAsia="Calibri" w:hAnsi="Calibri" w:cs="Calibri"/>
        </w:rPr>
        <w:t>.</w:t>
      </w:r>
    </w:p>
    <w:p w:rsidR="00ED536B" w:rsidRPr="00ED536B" w:rsidRDefault="00ED536B" w:rsidP="0027624C">
      <w:pPr>
        <w:spacing w:after="249"/>
      </w:pPr>
      <w:r w:rsidRPr="00ED536B">
        <w:rPr>
          <w:rFonts w:ascii="Calibri" w:eastAsia="Calibri" w:hAnsi="Calibri" w:cs="Calibri"/>
          <w:b/>
          <w:i/>
        </w:rPr>
        <w:t xml:space="preserve">Резюме рекомендаций для контроля найдено в </w:t>
      </w:r>
      <w:hyperlink r:id="rId9">
        <w:r w:rsidRPr="00ED536B">
          <w:rPr>
            <w:rFonts w:ascii="Calibri" w:eastAsia="Calibri" w:hAnsi="Calibri" w:cs="Calibri"/>
            <w:b/>
            <w:i/>
            <w:color w:val="0000FF"/>
            <w:u w:val="single" w:color="0000FF"/>
          </w:rPr>
          <w:t>КОРОБКЕ</w:t>
        </w:r>
      </w:hyperlink>
      <w:r w:rsidRPr="00ED536B">
        <w:rPr>
          <w:rFonts w:ascii="Calibri" w:eastAsia="Calibri" w:hAnsi="Calibri" w:cs="Calibri"/>
          <w:b/>
          <w:i/>
        </w:rPr>
        <w:t xml:space="preserve"> </w:t>
      </w:r>
      <w:r w:rsidRPr="00ED536B">
        <w:rPr>
          <w:rFonts w:ascii="Calibri" w:eastAsia="Calibri" w:hAnsi="Calibri" w:cs="Calibri"/>
          <w:b/>
          <w:i/>
          <w:sz w:val="15"/>
        </w:rPr>
        <w:t>[2]</w:t>
      </w:r>
      <w:r w:rsidRPr="00ED536B">
        <w:rPr>
          <w:rFonts w:ascii="Calibri" w:eastAsia="Calibri" w:hAnsi="Calibri" w:cs="Calibri"/>
          <w:b/>
          <w:i/>
        </w:rPr>
        <w:t>.</w:t>
      </w:r>
    </w:p>
    <w:p w:rsidR="00ED536B" w:rsidRPr="00ED536B" w:rsidRDefault="00ED536B" w:rsidP="0027624C">
      <w:pPr>
        <w:spacing w:after="0" w:line="262" w:lineRule="auto"/>
        <w:ind w:left="-5" w:right="24" w:hanging="10"/>
      </w:pPr>
      <w:r w:rsidRPr="00ED536B">
        <w:rPr>
          <w:rFonts w:ascii="Calibri" w:eastAsia="Calibri" w:hAnsi="Calibri" w:cs="Calibri"/>
        </w:rPr>
        <w:t>Эта секция дает представление о контролирующих пациентах с хроническим гепатитом С, которые начинают лечение, находятся на лечении или закончили лечение. Секция разделена на 3 части:</w:t>
      </w:r>
    </w:p>
    <w:p w:rsidR="00ED536B" w:rsidRPr="00ED536B" w:rsidRDefault="00ED536B" w:rsidP="0027624C">
      <w:pPr>
        <w:spacing w:after="533" w:line="262" w:lineRule="auto"/>
        <w:ind w:left="-5" w:right="24" w:hanging="10"/>
      </w:pPr>
      <w:r w:rsidRPr="00ED536B">
        <w:rPr>
          <w:rFonts w:ascii="Calibri" w:eastAsia="Calibri" w:hAnsi="Calibri" w:cs="Calibri"/>
        </w:rPr>
        <w:t>предварительная обработка и контроль на лечении, наблюдение после лечения для людей, в которых лечение не очистило вирус и наблюдение после лечения для тех, кто достиг длительной вирусологической реакции (</w:t>
      </w:r>
      <w:r w:rsidRPr="00AF60BF">
        <w:rPr>
          <w:rFonts w:ascii="Calibri" w:eastAsia="Calibri" w:hAnsi="Calibri" w:cs="Calibri"/>
          <w:lang w:val="en-US"/>
        </w:rPr>
        <w:t>SVR</w:t>
      </w:r>
      <w:r w:rsidRPr="00ED536B">
        <w:rPr>
          <w:rFonts w:ascii="Calibri" w:eastAsia="Calibri" w:hAnsi="Calibri" w:cs="Calibri"/>
        </w:rPr>
        <w:t>; вирусологическое лечение).</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45" w:line="260" w:lineRule="auto"/>
        <w:ind w:left="260" w:right="226" w:hanging="10"/>
      </w:pPr>
      <w:r w:rsidRPr="00ED536B">
        <w:rPr>
          <w:rFonts w:ascii="Calibri" w:eastAsia="Calibri" w:hAnsi="Calibri" w:cs="Calibri"/>
          <w:b/>
          <w:i/>
          <w:color w:val="145314"/>
          <w:sz w:val="24"/>
        </w:rPr>
        <w:t>Рекомендуемые оценки до стартовой антивирусной терапии.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10" w:line="261" w:lineRule="auto"/>
        <w:ind w:left="260" w:right="226" w:hanging="10"/>
      </w:pPr>
      <w:r w:rsidRPr="00ED536B">
        <w:rPr>
          <w:rFonts w:ascii="Calibri" w:eastAsia="Calibri" w:hAnsi="Calibri" w:cs="Calibri"/>
          <w:b/>
          <w:color w:val="3077B8"/>
          <w:sz w:val="26"/>
        </w:rPr>
        <w:t>Оценка потенциального взаимодействия лекарств с сопутствующими лечениями рекомендуется до стартовой антивирусной терапии.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61" w:line="261" w:lineRule="auto"/>
        <w:ind w:left="260" w:right="226" w:hanging="10"/>
      </w:pPr>
      <w:r w:rsidRPr="00ED536B">
        <w:rPr>
          <w:rFonts w:ascii="Calibri" w:eastAsia="Calibri" w:hAnsi="Calibri" w:cs="Calibri"/>
          <w:b/>
          <w:color w:val="3077B8"/>
          <w:sz w:val="24"/>
        </w:rPr>
        <w:t>Следующие лабораторные испытания рекомендуются в течение 12 недель до стартовой антивирусной терапии: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5" w:line="270" w:lineRule="auto"/>
        <w:ind w:left="260" w:right="226" w:hanging="10"/>
      </w:pPr>
      <w:r w:rsidRPr="00ED536B">
        <w:rPr>
          <w:rFonts w:ascii="Segoe UI Symbol" w:eastAsia="Segoe UI Symbol" w:hAnsi="Segoe UI Symbol" w:cs="Segoe UI Symbol"/>
          <w:color w:val="3077B8"/>
          <w:sz w:val="9"/>
        </w:rPr>
        <w:t>■</w:t>
      </w:r>
      <w:r w:rsidRPr="00ED536B">
        <w:rPr>
          <w:rFonts w:ascii="Segoe UI Symbol" w:eastAsia="Segoe UI Symbol" w:hAnsi="Segoe UI Symbol" w:cs="Segoe UI Symbol"/>
          <w:color w:val="3077B8"/>
          <w:sz w:val="14"/>
          <w:vertAlign w:val="subscript"/>
        </w:rPr>
        <w:t xml:space="preserve"> </w:t>
      </w:r>
      <w:r w:rsidRPr="00ED536B">
        <w:rPr>
          <w:rFonts w:ascii="Calibri" w:eastAsia="Calibri" w:hAnsi="Calibri" w:cs="Calibri"/>
          <w:b/>
          <w:color w:val="3077B8"/>
        </w:rPr>
        <w:t>Полный анализ крови (</w:t>
      </w:r>
      <w:r w:rsidRPr="00AF60BF">
        <w:rPr>
          <w:rFonts w:ascii="Calibri" w:eastAsia="Calibri" w:hAnsi="Calibri" w:cs="Calibri"/>
          <w:b/>
          <w:color w:val="3077B8"/>
          <w:lang w:val="en-US"/>
        </w:rPr>
        <w:t>CBC</w:t>
      </w:r>
      <w:r w:rsidRPr="00ED536B">
        <w:rPr>
          <w:rFonts w:ascii="Calibri" w:eastAsia="Calibri" w:hAnsi="Calibri" w:cs="Calibri"/>
          <w:b/>
          <w:color w:val="3077B8"/>
        </w:rPr>
        <w:t>); международное нормализованное отношение (</w:t>
      </w:r>
      <w:r w:rsidRPr="00AF60BF">
        <w:rPr>
          <w:rFonts w:ascii="Calibri" w:eastAsia="Calibri" w:hAnsi="Calibri" w:cs="Calibri"/>
          <w:b/>
          <w:color w:val="3077B8"/>
          <w:lang w:val="en-US"/>
        </w:rPr>
        <w:t>INR</w:t>
      </w:r>
      <w:r w:rsidRPr="00ED536B">
        <w:rPr>
          <w:rFonts w:ascii="Calibri" w:eastAsia="Calibri" w:hAnsi="Calibri" w:cs="Calibri"/>
          <w:b/>
          <w:color w:val="3077B8"/>
        </w:rPr>
        <w:t>)</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5" w:line="270" w:lineRule="auto"/>
        <w:ind w:left="411" w:right="226" w:hanging="161"/>
      </w:pPr>
      <w:r w:rsidRPr="00ED536B">
        <w:rPr>
          <w:rFonts w:ascii="Segoe UI Symbol" w:eastAsia="Segoe UI Symbol" w:hAnsi="Segoe UI Symbol" w:cs="Segoe UI Symbol"/>
          <w:color w:val="3077B8"/>
          <w:sz w:val="9"/>
        </w:rPr>
        <w:t>■</w:t>
      </w:r>
      <w:r w:rsidRPr="00ED536B">
        <w:rPr>
          <w:rFonts w:ascii="Segoe UI Symbol" w:eastAsia="Segoe UI Symbol" w:hAnsi="Segoe UI Symbol" w:cs="Segoe UI Symbol"/>
          <w:color w:val="3077B8"/>
          <w:sz w:val="14"/>
          <w:vertAlign w:val="subscript"/>
        </w:rPr>
        <w:t xml:space="preserve"> </w:t>
      </w:r>
      <w:r w:rsidRPr="00ED536B">
        <w:rPr>
          <w:rFonts w:ascii="Calibri" w:eastAsia="Calibri" w:hAnsi="Calibri" w:cs="Calibri"/>
          <w:b/>
          <w:color w:val="3077B8"/>
        </w:rPr>
        <w:t>Печеночная группа функции (белок, общий и прямой билирубин, аланиновая аминотрансфераза, аспартатаминотрансфераза и уровни щелочной фосфатазы)</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5" w:line="270" w:lineRule="auto"/>
        <w:ind w:left="260" w:right="226" w:hanging="10"/>
      </w:pPr>
      <w:r w:rsidRPr="00ED536B">
        <w:rPr>
          <w:rFonts w:ascii="Segoe UI Symbol" w:eastAsia="Segoe UI Symbol" w:hAnsi="Segoe UI Symbol" w:cs="Segoe UI Symbol"/>
          <w:color w:val="3077B8"/>
          <w:sz w:val="9"/>
        </w:rPr>
        <w:t>■</w:t>
      </w:r>
      <w:r w:rsidRPr="00ED536B">
        <w:rPr>
          <w:rFonts w:ascii="Segoe UI Symbol" w:eastAsia="Segoe UI Symbol" w:hAnsi="Segoe UI Symbol" w:cs="Segoe UI Symbol"/>
          <w:color w:val="3077B8"/>
          <w:sz w:val="14"/>
          <w:vertAlign w:val="subscript"/>
        </w:rPr>
        <w:t xml:space="preserve"> </w:t>
      </w:r>
      <w:r w:rsidRPr="00ED536B">
        <w:rPr>
          <w:rFonts w:ascii="Calibri" w:eastAsia="Calibri" w:hAnsi="Calibri" w:cs="Calibri"/>
          <w:b/>
          <w:color w:val="3077B8"/>
        </w:rPr>
        <w:t>Тиреотропный гормон (</w:t>
      </w:r>
      <w:r w:rsidRPr="00AF60BF">
        <w:rPr>
          <w:rFonts w:ascii="Calibri" w:eastAsia="Calibri" w:hAnsi="Calibri" w:cs="Calibri"/>
          <w:b/>
          <w:color w:val="3077B8"/>
          <w:lang w:val="en-US"/>
        </w:rPr>
        <w:t>TSH</w:t>
      </w:r>
      <w:r w:rsidRPr="00ED536B">
        <w:rPr>
          <w:rFonts w:ascii="Calibri" w:eastAsia="Calibri" w:hAnsi="Calibri" w:cs="Calibri"/>
          <w:b/>
          <w:color w:val="3077B8"/>
        </w:rPr>
        <w:t xml:space="preserve">), если </w:t>
      </w:r>
      <w:r w:rsidRPr="00AF60BF">
        <w:rPr>
          <w:rFonts w:ascii="Calibri" w:eastAsia="Calibri" w:hAnsi="Calibri" w:cs="Calibri"/>
          <w:b/>
          <w:color w:val="3077B8"/>
          <w:lang w:val="en-US"/>
        </w:rPr>
        <w:t>IFN</w:t>
      </w:r>
      <w:r w:rsidRPr="00ED536B">
        <w:rPr>
          <w:rFonts w:ascii="Calibri" w:eastAsia="Calibri" w:hAnsi="Calibri" w:cs="Calibri"/>
          <w:b/>
          <w:color w:val="3077B8"/>
        </w:rPr>
        <w:t xml:space="preserve"> используется</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20" w:line="270" w:lineRule="auto"/>
        <w:ind w:left="260" w:right="226" w:hanging="10"/>
      </w:pPr>
      <w:r w:rsidRPr="00ED536B">
        <w:rPr>
          <w:rFonts w:ascii="Segoe UI Symbol" w:eastAsia="Segoe UI Symbol" w:hAnsi="Segoe UI Symbol" w:cs="Segoe UI Symbol"/>
          <w:color w:val="3077B8"/>
          <w:sz w:val="9"/>
        </w:rPr>
        <w:t>■</w:t>
      </w:r>
      <w:r w:rsidRPr="00ED536B">
        <w:rPr>
          <w:rFonts w:ascii="Segoe UI Symbol" w:eastAsia="Segoe UI Symbol" w:hAnsi="Segoe UI Symbol" w:cs="Segoe UI Symbol"/>
          <w:color w:val="3077B8"/>
          <w:sz w:val="14"/>
          <w:vertAlign w:val="subscript"/>
        </w:rPr>
        <w:t xml:space="preserve"> </w:t>
      </w:r>
      <w:r w:rsidRPr="00ED536B">
        <w:rPr>
          <w:rFonts w:ascii="Calibri" w:eastAsia="Calibri" w:hAnsi="Calibri" w:cs="Calibri"/>
          <w:b/>
          <w:color w:val="3077B8"/>
        </w:rPr>
        <w:t>Расчетная скорость клубочковой фильтрации (</w:t>
      </w:r>
      <w:r w:rsidRPr="00AF60BF">
        <w:rPr>
          <w:rFonts w:ascii="Calibri" w:eastAsia="Calibri" w:hAnsi="Calibri" w:cs="Calibri"/>
          <w:b/>
          <w:color w:val="3077B8"/>
          <w:lang w:val="en-US"/>
        </w:rPr>
        <w:t>GFR</w:t>
      </w:r>
      <w:r w:rsidRPr="00ED536B">
        <w:rPr>
          <w:rFonts w:ascii="Calibri" w:eastAsia="Calibri" w:hAnsi="Calibri" w:cs="Calibri"/>
          <w:b/>
          <w:color w:val="3077B8"/>
        </w:rPr>
        <w:t>)</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61" w:line="261" w:lineRule="auto"/>
        <w:ind w:left="260" w:right="226" w:hanging="10"/>
      </w:pPr>
      <w:r w:rsidRPr="00ED536B">
        <w:rPr>
          <w:rFonts w:ascii="Calibri" w:eastAsia="Calibri" w:hAnsi="Calibri" w:cs="Calibri"/>
          <w:b/>
          <w:color w:val="3077B8"/>
          <w:sz w:val="24"/>
        </w:rPr>
        <w:t>Следующее лабораторное тестирование рекомендуется в любое время до стартовой антивирусной терапии: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5" w:line="270" w:lineRule="auto"/>
        <w:ind w:left="260" w:right="226" w:hanging="10"/>
      </w:pPr>
      <w:r w:rsidRPr="00ED536B">
        <w:rPr>
          <w:rFonts w:ascii="Segoe UI Symbol" w:eastAsia="Segoe UI Symbol" w:hAnsi="Segoe UI Symbol" w:cs="Segoe UI Symbol"/>
          <w:color w:val="3077B8"/>
          <w:sz w:val="14"/>
          <w:vertAlign w:val="superscript"/>
        </w:rPr>
        <w:t xml:space="preserve">■ </w:t>
      </w:r>
      <w:r w:rsidRPr="00AF60BF">
        <w:rPr>
          <w:rFonts w:ascii="Calibri" w:eastAsia="Calibri" w:hAnsi="Calibri" w:cs="Calibri"/>
          <w:b/>
          <w:color w:val="3077B8"/>
          <w:lang w:val="en-US"/>
        </w:rPr>
        <w:t>HCV</w:t>
      </w:r>
      <w:r w:rsidRPr="00ED536B">
        <w:rPr>
          <w:rFonts w:ascii="Calibri" w:eastAsia="Calibri" w:hAnsi="Calibri" w:cs="Calibri"/>
          <w:b/>
          <w:color w:val="3077B8"/>
        </w:rPr>
        <w:t xml:space="preserve"> генотип и подтип</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5" w:line="270" w:lineRule="auto"/>
        <w:ind w:left="411" w:right="226" w:hanging="161"/>
      </w:pPr>
      <w:r w:rsidRPr="00ED536B">
        <w:rPr>
          <w:rFonts w:ascii="Segoe UI Symbol" w:eastAsia="Segoe UI Symbol" w:hAnsi="Segoe UI Symbol" w:cs="Segoe UI Symbol"/>
          <w:color w:val="3077B8"/>
          <w:sz w:val="9"/>
        </w:rPr>
        <w:t>■</w:t>
      </w:r>
      <w:r w:rsidRPr="00ED536B">
        <w:rPr>
          <w:rFonts w:ascii="Segoe UI Symbol" w:eastAsia="Segoe UI Symbol" w:hAnsi="Segoe UI Symbol" w:cs="Segoe UI Symbol"/>
          <w:color w:val="3077B8"/>
          <w:sz w:val="14"/>
          <w:vertAlign w:val="subscript"/>
        </w:rPr>
        <w:t xml:space="preserve"> </w:t>
      </w:r>
      <w:r w:rsidRPr="00ED536B">
        <w:rPr>
          <w:rFonts w:ascii="Calibri" w:eastAsia="Calibri" w:hAnsi="Calibri" w:cs="Calibri"/>
          <w:b/>
          <w:color w:val="3077B8"/>
        </w:rPr>
        <w:t xml:space="preserve">Количественный вирусный груз </w:t>
      </w:r>
      <w:r w:rsidRPr="00AF60BF">
        <w:rPr>
          <w:rFonts w:ascii="Calibri" w:eastAsia="Calibri" w:hAnsi="Calibri" w:cs="Calibri"/>
          <w:b/>
          <w:color w:val="3077B8"/>
          <w:lang w:val="en-US"/>
        </w:rPr>
        <w:t>HCV</w:t>
      </w:r>
      <w:r w:rsidRPr="00ED536B">
        <w:rPr>
          <w:rFonts w:ascii="Calibri" w:eastAsia="Calibri" w:hAnsi="Calibri" w:cs="Calibri"/>
          <w:b/>
          <w:color w:val="3077B8"/>
        </w:rPr>
        <w:t>, кроме обстоятельства, что количественный вирусный груз будет влиять на продолжительность терапии</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995"/>
        <w:ind w:left="265"/>
      </w:pPr>
      <w:r w:rsidRPr="00ED536B">
        <w:rPr>
          <w:rFonts w:ascii="Calibri" w:eastAsia="Calibri" w:hAnsi="Calibri" w:cs="Calibri"/>
          <w:b/>
        </w:rPr>
        <w:lastRenderedPageBreak/>
        <w:t xml:space="preserve">Рейтинг для всех заявлений выше: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300" w:hanging="10"/>
      </w:pPr>
      <w:r w:rsidRPr="00ED536B">
        <w:rPr>
          <w:rFonts w:ascii="Calibri" w:eastAsia="Calibri" w:hAnsi="Calibri" w:cs="Calibri"/>
          <w:b/>
          <w:i/>
          <w:color w:val="145314"/>
          <w:sz w:val="24"/>
        </w:rPr>
        <w:t>Рекомендуемый контроль во время антивирусной терапии.</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132" w:line="261" w:lineRule="auto"/>
        <w:ind w:left="260" w:right="300" w:hanging="10"/>
      </w:pPr>
      <w:r w:rsidRPr="00ED536B">
        <w:rPr>
          <w:rFonts w:ascii="Calibri" w:eastAsia="Calibri" w:hAnsi="Calibri" w:cs="Calibri"/>
          <w:b/>
          <w:color w:val="3077B8"/>
          <w:sz w:val="26"/>
        </w:rPr>
        <w:t>Посещения клиники или телефонный контакт рекомендуются, как клинически обозначено во время лечения гарантировать приверженность лечения и контролировать для нежелательных явлений и потенциального взаимодействия лекарств с недавно прописанными лекарствами.</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132" w:line="261" w:lineRule="auto"/>
        <w:ind w:left="260" w:right="300" w:hanging="10"/>
      </w:pPr>
      <w:r w:rsidRPr="00ED536B">
        <w:rPr>
          <w:rFonts w:ascii="Calibri" w:eastAsia="Calibri" w:hAnsi="Calibri" w:cs="Calibri"/>
          <w:b/>
          <w:color w:val="3077B8"/>
          <w:sz w:val="26"/>
        </w:rPr>
        <w:t>Полный анализ крови (</w:t>
      </w:r>
      <w:r w:rsidRPr="00AF60BF">
        <w:rPr>
          <w:rFonts w:ascii="Calibri" w:eastAsia="Calibri" w:hAnsi="Calibri" w:cs="Calibri"/>
          <w:b/>
          <w:color w:val="3077B8"/>
          <w:sz w:val="26"/>
          <w:lang w:val="en-US"/>
        </w:rPr>
        <w:t>CBC</w:t>
      </w:r>
      <w:r w:rsidRPr="00ED536B">
        <w:rPr>
          <w:rFonts w:ascii="Calibri" w:eastAsia="Calibri" w:hAnsi="Calibri" w:cs="Calibri"/>
          <w:b/>
          <w:color w:val="3077B8"/>
          <w:sz w:val="26"/>
        </w:rPr>
        <w:t>), уровень креатинина, вычислил скорость клубочковой фильтрации (</w:t>
      </w:r>
      <w:r w:rsidRPr="00AF60BF">
        <w:rPr>
          <w:rFonts w:ascii="Calibri" w:eastAsia="Calibri" w:hAnsi="Calibri" w:cs="Calibri"/>
          <w:b/>
          <w:color w:val="3077B8"/>
          <w:sz w:val="26"/>
          <w:lang w:val="en-US"/>
        </w:rPr>
        <w:t>GFR</w:t>
      </w:r>
      <w:r w:rsidRPr="00ED536B">
        <w:rPr>
          <w:rFonts w:ascii="Calibri" w:eastAsia="Calibri" w:hAnsi="Calibri" w:cs="Calibri"/>
          <w:b/>
          <w:color w:val="3077B8"/>
          <w:sz w:val="26"/>
        </w:rPr>
        <w:t>), и печеночной группе функции рекомендуют после 4 недель лечения и, как клинически обозначено. Тиреотропный гормон (</w:t>
      </w:r>
      <w:r w:rsidRPr="00AF60BF">
        <w:rPr>
          <w:rFonts w:ascii="Calibri" w:eastAsia="Calibri" w:hAnsi="Calibri" w:cs="Calibri"/>
          <w:b/>
          <w:color w:val="3077B8"/>
          <w:sz w:val="26"/>
          <w:lang w:val="en-US"/>
        </w:rPr>
        <w:t>TSH</w:t>
      </w:r>
      <w:r w:rsidRPr="00ED536B">
        <w:rPr>
          <w:rFonts w:ascii="Calibri" w:eastAsia="Calibri" w:hAnsi="Calibri" w:cs="Calibri"/>
          <w:b/>
          <w:color w:val="3077B8"/>
          <w:sz w:val="26"/>
        </w:rPr>
        <w:t xml:space="preserve">) рекомендуется каждые 12 недель для пациентов, получающих </w:t>
      </w:r>
      <w:r w:rsidRPr="00AF60BF">
        <w:rPr>
          <w:rFonts w:ascii="Calibri" w:eastAsia="Calibri" w:hAnsi="Calibri" w:cs="Calibri"/>
          <w:b/>
          <w:color w:val="3077B8"/>
          <w:sz w:val="26"/>
          <w:lang w:val="en-US"/>
        </w:rPr>
        <w:t>IFN</w:t>
      </w:r>
      <w:r w:rsidRPr="00ED536B">
        <w:rPr>
          <w:rFonts w:ascii="Calibri" w:eastAsia="Calibri" w:hAnsi="Calibri" w:cs="Calibri"/>
          <w:b/>
          <w:color w:val="3077B8"/>
          <w:sz w:val="26"/>
        </w:rPr>
        <w:t xml:space="preserve">. Более частая оценка для связанных с наркотиками токсичных эффектов (например, клинический анализ крови для пациентов, получающих </w:t>
      </w:r>
      <w:r w:rsidRPr="00AF60BF">
        <w:rPr>
          <w:rFonts w:ascii="Calibri" w:eastAsia="Calibri" w:hAnsi="Calibri" w:cs="Calibri"/>
          <w:b/>
          <w:color w:val="3077B8"/>
          <w:sz w:val="26"/>
          <w:lang w:val="en-US"/>
        </w:rPr>
        <w:t>RBV</w:t>
      </w:r>
      <w:r w:rsidRPr="00ED536B">
        <w:rPr>
          <w:rFonts w:ascii="Calibri" w:eastAsia="Calibri" w:hAnsi="Calibri" w:cs="Calibri"/>
          <w:b/>
          <w:color w:val="3077B8"/>
          <w:sz w:val="26"/>
        </w:rPr>
        <w:t>), рекомендуется, как клинически обозначено.</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02" w:line="261" w:lineRule="auto"/>
        <w:ind w:left="260" w:right="300" w:hanging="10"/>
      </w:pPr>
      <w:r w:rsidRPr="00ED536B">
        <w:rPr>
          <w:rFonts w:ascii="Calibri" w:eastAsia="Calibri" w:hAnsi="Calibri" w:cs="Calibri"/>
          <w:b/>
          <w:color w:val="3077B8"/>
          <w:sz w:val="26"/>
        </w:rPr>
        <w:t>Любое 10-кратное увеличение аланиновой аминотрансферазы (АЛТ) активность в неделю 4 должно вызвать прекращение терапии. Любое увеличение АЛТ меньше, чем 10-кратного в неделю 4 и сопровождаемый любой слабостью, тошнотой, рвотой, желтухой, или увеличенным билирубином, щелочной фосфатазой или международным нормализованным отношением должно также вызвать прекращение терапии. Бессимптомные увеличения АЛТ меньше, чем 10-кратного, увеличенного в неделю 4, должны быть близко проверены и повторены в неделю 6 и неделю 8. Если уровни постоянно остаются увеличенными, внимание должно быть уделено прекращению терапии.</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30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B</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132" w:line="261" w:lineRule="auto"/>
        <w:ind w:left="260" w:right="300" w:hanging="10"/>
      </w:pPr>
      <w:r w:rsidRPr="00ED536B">
        <w:rPr>
          <w:rFonts w:ascii="Calibri" w:eastAsia="Calibri" w:hAnsi="Calibri" w:cs="Calibri"/>
          <w:b/>
          <w:color w:val="3077B8"/>
          <w:sz w:val="26"/>
        </w:rPr>
        <w:t xml:space="preserve">Количественное вирусное тестирование груза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рекомендуется после 4 недель терапии и в 12 недель после завершения терапии. Терапия противовирусного препарата не должна быть прервана или прекращена, если уровни РНК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не выполняются или не доступны во время лечения.</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87" w:line="261" w:lineRule="auto"/>
        <w:ind w:left="260" w:right="300" w:hanging="10"/>
      </w:pPr>
      <w:r w:rsidRPr="00ED536B">
        <w:rPr>
          <w:rFonts w:ascii="Calibri" w:eastAsia="Calibri" w:hAnsi="Calibri" w:cs="Calibri"/>
          <w:b/>
          <w:color w:val="3077B8"/>
          <w:sz w:val="26"/>
        </w:rPr>
        <w:t xml:space="preserve">Количественное вирусное тестирование груза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можно считать в конце лечения и 24 недели или более длительным следующий за завершением терапии.</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989" w:line="265" w:lineRule="auto"/>
        <w:ind w:left="260" w:right="30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B</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45" w:line="260" w:lineRule="auto"/>
        <w:ind w:left="268" w:hanging="10"/>
      </w:pPr>
      <w:r w:rsidRPr="00ED536B">
        <w:rPr>
          <w:rFonts w:ascii="Calibri" w:eastAsia="Calibri" w:hAnsi="Calibri" w:cs="Calibri"/>
          <w:b/>
          <w:i/>
          <w:color w:val="145314"/>
          <w:sz w:val="24"/>
        </w:rPr>
        <w:t>Рекомендации для прекращения лечения из-за отсутствия эффективности.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25" w:line="267" w:lineRule="auto"/>
        <w:ind w:left="258"/>
        <w:jc w:val="both"/>
      </w:pPr>
      <w:r w:rsidRPr="00ED536B">
        <w:rPr>
          <w:rFonts w:ascii="Calibri" w:eastAsia="Calibri" w:hAnsi="Calibri" w:cs="Calibri"/>
          <w:b/>
          <w:color w:val="3077B8"/>
          <w:sz w:val="26"/>
        </w:rPr>
        <w:t xml:space="preserve">Если количественный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вирусный груз является поддающимся обнаружению в неделю 4 из лечения, повторная количественная РНК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вирусное тестирование груза, рекомендуется после 2 дополнительных недель лечения (неделя лечения 6). Если количественный вирусный груз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увеличился большим, чем 10-кратный (&gt; 1 </w:t>
      </w:r>
      <w:r w:rsidRPr="00AF60BF">
        <w:rPr>
          <w:rFonts w:ascii="Calibri" w:eastAsia="Calibri" w:hAnsi="Calibri" w:cs="Calibri"/>
          <w:b/>
          <w:color w:val="3077B8"/>
          <w:sz w:val="26"/>
          <w:lang w:val="en-US"/>
        </w:rPr>
        <w:t>log</w:t>
      </w:r>
      <w:r w:rsidRPr="00ED536B">
        <w:rPr>
          <w:rFonts w:ascii="Calibri" w:eastAsia="Calibri" w:hAnsi="Calibri" w:cs="Calibri"/>
          <w:b/>
          <w:color w:val="3077B8"/>
          <w:sz w:val="26"/>
        </w:rPr>
        <w:t xml:space="preserve">10 </w:t>
      </w:r>
      <w:r w:rsidRPr="00AF60BF">
        <w:rPr>
          <w:rFonts w:ascii="Calibri" w:eastAsia="Calibri" w:hAnsi="Calibri" w:cs="Calibri"/>
          <w:b/>
          <w:color w:val="3077B8"/>
          <w:sz w:val="26"/>
          <w:lang w:val="en-US"/>
        </w:rPr>
        <w:t>IU</w:t>
      </w:r>
      <w:r w:rsidRPr="00ED536B">
        <w:rPr>
          <w:rFonts w:ascii="Calibri" w:eastAsia="Calibri" w:hAnsi="Calibri" w:cs="Calibri"/>
          <w:b/>
          <w:color w:val="3077B8"/>
          <w:sz w:val="26"/>
        </w:rPr>
        <w:t>/</w:t>
      </w:r>
      <w:r w:rsidRPr="00AF60BF">
        <w:rPr>
          <w:rFonts w:ascii="Calibri" w:eastAsia="Calibri" w:hAnsi="Calibri" w:cs="Calibri"/>
          <w:b/>
          <w:color w:val="3077B8"/>
          <w:sz w:val="26"/>
          <w:lang w:val="en-US"/>
        </w:rPr>
        <w:t>mL</w:t>
      </w:r>
      <w:r w:rsidRPr="00ED536B">
        <w:rPr>
          <w:rFonts w:ascii="Calibri" w:eastAsia="Calibri" w:hAnsi="Calibri" w:cs="Calibri"/>
          <w:b/>
          <w:color w:val="3077B8"/>
          <w:sz w:val="26"/>
        </w:rPr>
        <w:t xml:space="preserve">) на тестировании повторения в неделю 6 (или после того), то прекращение лечения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рекомендуется.  </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87" w:line="261" w:lineRule="auto"/>
        <w:ind w:left="260" w:right="113" w:hanging="10"/>
      </w:pPr>
      <w:r w:rsidRPr="00ED536B">
        <w:rPr>
          <w:rFonts w:ascii="Calibri" w:eastAsia="Calibri" w:hAnsi="Calibri" w:cs="Calibri"/>
          <w:b/>
          <w:color w:val="3077B8"/>
          <w:sz w:val="26"/>
        </w:rPr>
        <w:t xml:space="preserve">Значение положительного результата испытаний РНК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в неделю 4, который остается положительным, но ниже, в неделю 6 или неделю 8 неизвестно. Никакая рекомендация остановить терапию или расширить терапию не может быть предоставлена в это время.</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989" w:line="265" w:lineRule="auto"/>
        <w:ind w:left="260" w:right="113"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III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hanging="10"/>
      </w:pPr>
      <w:r w:rsidRPr="00ED536B">
        <w:rPr>
          <w:rFonts w:ascii="Calibri" w:eastAsia="Calibri" w:hAnsi="Calibri" w:cs="Calibri"/>
          <w:b/>
          <w:i/>
          <w:color w:val="145314"/>
          <w:sz w:val="24"/>
        </w:rPr>
        <w:t xml:space="preserve">Рекомендуемый контроль для связанных с беременностью проблем до и во время антивирусной терапии, включающей </w:t>
      </w:r>
      <w:r w:rsidRPr="00AF60BF">
        <w:rPr>
          <w:rFonts w:ascii="Calibri" w:eastAsia="Calibri" w:hAnsi="Calibri" w:cs="Calibri"/>
          <w:b/>
          <w:i/>
          <w:color w:val="145314"/>
          <w:sz w:val="24"/>
          <w:lang w:val="en-US"/>
        </w:rPr>
        <w:t>RBV</w:t>
      </w:r>
      <w:r w:rsidRPr="00ED536B">
        <w:rPr>
          <w:rFonts w:ascii="Calibri" w:eastAsia="Calibri" w:hAnsi="Calibri" w:cs="Calibri"/>
          <w:b/>
          <w:i/>
          <w:color w:val="145314"/>
          <w:sz w:val="24"/>
        </w:rPr>
        <w:t>.</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02" w:line="261" w:lineRule="auto"/>
        <w:ind w:left="260" w:hanging="10"/>
      </w:pPr>
      <w:r w:rsidRPr="00ED536B">
        <w:rPr>
          <w:rFonts w:ascii="Calibri" w:eastAsia="Calibri" w:hAnsi="Calibri" w:cs="Calibri"/>
          <w:b/>
          <w:color w:val="3077B8"/>
          <w:sz w:val="26"/>
        </w:rPr>
        <w:t xml:space="preserve">Женщин детородного возраста нужно предостеречь не забеременеть при получении </w:t>
      </w:r>
      <w:r w:rsidRPr="00AF60BF">
        <w:rPr>
          <w:rFonts w:ascii="Calibri" w:eastAsia="Calibri" w:hAnsi="Calibri" w:cs="Calibri"/>
          <w:b/>
          <w:color w:val="3077B8"/>
          <w:sz w:val="26"/>
          <w:lang w:val="en-US"/>
        </w:rPr>
        <w:t>RBV</w:t>
      </w:r>
      <w:r w:rsidRPr="00ED536B">
        <w:rPr>
          <w:rFonts w:ascii="Calibri" w:eastAsia="Calibri" w:hAnsi="Calibri" w:cs="Calibri"/>
          <w:b/>
          <w:color w:val="3077B8"/>
          <w:sz w:val="26"/>
        </w:rPr>
        <w:t>-содержащий антивирусные режимы, и в течение максимум 6 месяцев после остановки.</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02" w:line="261" w:lineRule="auto"/>
        <w:ind w:left="260" w:hanging="10"/>
      </w:pPr>
      <w:r w:rsidRPr="00ED536B">
        <w:rPr>
          <w:rFonts w:ascii="Calibri" w:eastAsia="Calibri" w:hAnsi="Calibri" w:cs="Calibri"/>
          <w:b/>
          <w:color w:val="3077B8"/>
          <w:sz w:val="26"/>
        </w:rPr>
        <w:t xml:space="preserve">Тестирование беременности сыворотки рекомендуется для женщин детородного возраста до начинающегося лечения с режимом, включающим </w:t>
      </w:r>
      <w:r w:rsidRPr="00AF60BF">
        <w:rPr>
          <w:rFonts w:ascii="Calibri" w:eastAsia="Calibri" w:hAnsi="Calibri" w:cs="Calibri"/>
          <w:b/>
          <w:color w:val="3077B8"/>
          <w:sz w:val="26"/>
          <w:lang w:val="en-US"/>
        </w:rPr>
        <w:t>RBV</w:t>
      </w:r>
      <w:r w:rsidRPr="00ED536B">
        <w:rPr>
          <w:rFonts w:ascii="Calibri" w:eastAsia="Calibri" w:hAnsi="Calibri" w:cs="Calibri"/>
          <w:b/>
          <w:color w:val="3077B8"/>
          <w:sz w:val="26"/>
        </w:rPr>
        <w:t>.</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87" w:line="261" w:lineRule="auto"/>
        <w:ind w:left="260" w:hanging="10"/>
      </w:pPr>
      <w:r w:rsidRPr="00ED536B">
        <w:rPr>
          <w:rFonts w:ascii="Calibri" w:eastAsia="Calibri" w:hAnsi="Calibri" w:cs="Calibri"/>
          <w:b/>
          <w:color w:val="3077B8"/>
          <w:sz w:val="26"/>
        </w:rPr>
        <w:t xml:space="preserve">Оценка использования противозачаточных средств и возможной беременности рекомендуется в адекватных интервалах во время (и в течение 6 месяцев после) лечение </w:t>
      </w:r>
      <w:r w:rsidRPr="00AF60BF">
        <w:rPr>
          <w:rFonts w:ascii="Calibri" w:eastAsia="Calibri" w:hAnsi="Calibri" w:cs="Calibri"/>
          <w:b/>
          <w:color w:val="3077B8"/>
          <w:sz w:val="26"/>
          <w:lang w:val="en-US"/>
        </w:rPr>
        <w:t>RBV</w:t>
      </w:r>
      <w:r w:rsidRPr="00ED536B">
        <w:rPr>
          <w:rFonts w:ascii="Calibri" w:eastAsia="Calibri" w:hAnsi="Calibri" w:cs="Calibri"/>
          <w:b/>
          <w:color w:val="3077B8"/>
          <w:sz w:val="26"/>
        </w:rPr>
        <w:t xml:space="preserve"> для женщин потенциала рождения ребенка, и для партнеров женского пола мужчин, проходящих лечение </w:t>
      </w:r>
      <w:r w:rsidRPr="00AF60BF">
        <w:rPr>
          <w:rFonts w:ascii="Calibri" w:eastAsia="Calibri" w:hAnsi="Calibri" w:cs="Calibri"/>
          <w:b/>
          <w:color w:val="3077B8"/>
          <w:sz w:val="26"/>
          <w:lang w:val="en-US"/>
        </w:rPr>
        <w:t>RBV</w:t>
      </w:r>
      <w:r w:rsidRPr="00ED536B">
        <w:rPr>
          <w:rFonts w:ascii="Calibri" w:eastAsia="Calibri" w:hAnsi="Calibri" w:cs="Calibri"/>
          <w:b/>
          <w:color w:val="3077B8"/>
          <w:sz w:val="26"/>
        </w:rPr>
        <w:t>.</w:t>
      </w:r>
    </w:p>
    <w:p w:rsidR="00ED536B" w:rsidRPr="00ED536B" w:rsidRDefault="00ED536B" w:rsidP="0027624C">
      <w:pPr>
        <w:pBdr>
          <w:top w:val="single" w:sz="18" w:space="0" w:color="1B6F1B"/>
          <w:left w:val="single" w:sz="18" w:space="0" w:color="1B6F1B"/>
          <w:bottom w:val="single" w:sz="18" w:space="0" w:color="1B6F1B"/>
          <w:right w:val="single" w:sz="18" w:space="0" w:color="1B6F1B"/>
        </w:pBdr>
        <w:shd w:val="clear" w:color="auto" w:fill="FFFAF6"/>
        <w:spacing w:after="989"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E00000"/>
          <w:left w:val="single" w:sz="18" w:space="0" w:color="E00000"/>
          <w:right w:val="single" w:sz="18" w:space="0" w:color="E00000"/>
        </w:pBdr>
        <w:shd w:val="clear" w:color="auto" w:fill="F4E5E5"/>
        <w:spacing w:after="143" w:line="261" w:lineRule="auto"/>
        <w:ind w:left="265"/>
      </w:pPr>
      <w:r w:rsidRPr="00ED536B">
        <w:rPr>
          <w:rFonts w:ascii="Calibri" w:eastAsia="Calibri" w:hAnsi="Calibri" w:cs="Calibri"/>
          <w:b/>
          <w:i/>
          <w:sz w:val="24"/>
        </w:rPr>
        <w:t>Следующие режимы НЕ рекомендуются относительно связанных с беременностью проблем.</w:t>
      </w:r>
    </w:p>
    <w:p w:rsidR="00ED536B" w:rsidRPr="00ED536B" w:rsidRDefault="00ED536B" w:rsidP="0027624C">
      <w:pPr>
        <w:pBdr>
          <w:top w:val="single" w:sz="18" w:space="0" w:color="E00000"/>
          <w:left w:val="single" w:sz="18" w:space="0" w:color="E00000"/>
          <w:right w:val="single" w:sz="18" w:space="0" w:color="E00000"/>
        </w:pBdr>
        <w:shd w:val="clear" w:color="auto" w:fill="F4E5E5"/>
        <w:spacing w:after="202" w:line="261" w:lineRule="auto"/>
        <w:ind w:left="265"/>
      </w:pPr>
      <w:r w:rsidRPr="00ED536B">
        <w:rPr>
          <w:rFonts w:ascii="Calibri" w:eastAsia="Calibri" w:hAnsi="Calibri" w:cs="Calibri"/>
          <w:b/>
          <w:color w:val="B20000"/>
          <w:sz w:val="26"/>
        </w:rPr>
        <w:t xml:space="preserve">Лечение с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 xml:space="preserve"> НЕ рекомендуется для беременных женщин или для женщин, не желающих придерживаться использования соответствующей контрацепции, включая тех, кто получает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 xml:space="preserve"> самих или сексуальные партнеры пациентов мужского пола, получающих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w:t>
      </w:r>
    </w:p>
    <w:p w:rsidR="00ED536B" w:rsidRPr="00ED536B" w:rsidRDefault="00ED536B" w:rsidP="0027624C">
      <w:pPr>
        <w:pBdr>
          <w:top w:val="single" w:sz="18" w:space="0" w:color="E00000"/>
          <w:left w:val="single" w:sz="18" w:space="0" w:color="E00000"/>
          <w:right w:val="single" w:sz="18" w:space="0" w:color="E00000"/>
        </w:pBdr>
        <w:shd w:val="clear" w:color="auto" w:fill="F4E5E5"/>
        <w:spacing w:after="0"/>
        <w:ind w:left="265"/>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III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left w:val="single" w:sz="18" w:space="0" w:color="E00000"/>
          <w:bottom w:val="single" w:sz="18" w:space="0" w:color="E00000"/>
          <w:right w:val="single" w:sz="18" w:space="0" w:color="E00000"/>
        </w:pBdr>
        <w:shd w:val="clear" w:color="auto" w:fill="F4E5E5"/>
        <w:spacing w:after="87" w:line="261" w:lineRule="auto"/>
        <w:ind w:left="265" w:right="75"/>
      </w:pPr>
      <w:r w:rsidRPr="00ED536B">
        <w:rPr>
          <w:rFonts w:ascii="Calibri" w:eastAsia="Calibri" w:hAnsi="Calibri" w:cs="Calibri"/>
          <w:b/>
          <w:color w:val="B20000"/>
          <w:sz w:val="26"/>
        </w:rPr>
        <w:t xml:space="preserve">Пациентки, получившие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 xml:space="preserve"> и сексуальных партнеров пациентов мужского пола, получивших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 xml:space="preserve">, не должны забеременеть в течение по крайней мере 6 месяцев после остановки </w:t>
      </w:r>
      <w:r w:rsidRPr="00AF60BF">
        <w:rPr>
          <w:rFonts w:ascii="Calibri" w:eastAsia="Calibri" w:hAnsi="Calibri" w:cs="Calibri"/>
          <w:b/>
          <w:color w:val="B20000"/>
          <w:sz w:val="26"/>
          <w:lang w:val="en-US"/>
        </w:rPr>
        <w:t>RBV</w:t>
      </w:r>
      <w:r w:rsidRPr="00ED536B">
        <w:rPr>
          <w:rFonts w:ascii="Calibri" w:eastAsia="Calibri" w:hAnsi="Calibri" w:cs="Calibri"/>
          <w:b/>
          <w:color w:val="B20000"/>
          <w:sz w:val="26"/>
        </w:rPr>
        <w:t>.</w:t>
      </w:r>
    </w:p>
    <w:p w:rsidR="00ED536B" w:rsidRPr="00ED536B" w:rsidRDefault="00ED536B" w:rsidP="0027624C">
      <w:pPr>
        <w:pBdr>
          <w:left w:val="single" w:sz="18" w:space="0" w:color="E00000"/>
          <w:bottom w:val="single" w:sz="18" w:space="0" w:color="E00000"/>
          <w:right w:val="single" w:sz="18" w:space="0" w:color="E00000"/>
        </w:pBdr>
        <w:shd w:val="clear" w:color="auto" w:fill="F4E5E5"/>
        <w:spacing w:after="708"/>
        <w:ind w:left="265" w:right="75"/>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III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spacing w:after="249"/>
        <w:ind w:left="-5" w:hanging="10"/>
      </w:pPr>
      <w:r w:rsidRPr="00ED536B">
        <w:rPr>
          <w:rFonts w:ascii="Calibri" w:eastAsia="Calibri" w:hAnsi="Calibri" w:cs="Calibri"/>
          <w:b/>
        </w:rPr>
        <w:t>Предварительная обработка и контроль на лечении</w:t>
      </w:r>
    </w:p>
    <w:p w:rsidR="00ED536B" w:rsidRPr="00ED536B" w:rsidRDefault="00ED536B" w:rsidP="0027624C">
      <w:pPr>
        <w:spacing w:after="247" w:line="262" w:lineRule="auto"/>
        <w:ind w:left="-5" w:right="24" w:hanging="10"/>
      </w:pPr>
      <w:r w:rsidRPr="00ED536B">
        <w:rPr>
          <w:rFonts w:ascii="Calibri" w:eastAsia="Calibri" w:hAnsi="Calibri" w:cs="Calibri"/>
        </w:rPr>
        <w:t xml:space="preserve">Тестирование предварительной обработки, описанное здесь, предполагает, что решение отнестись с антивирусными лекарствами было уже принято и что тестирование, вовлеченное в решение лечить, включая тестирование на генотип </w:t>
      </w:r>
      <w:r w:rsidRPr="00AF60BF">
        <w:rPr>
          <w:rFonts w:ascii="Calibri" w:eastAsia="Calibri" w:hAnsi="Calibri" w:cs="Calibri"/>
          <w:lang w:val="en-US"/>
        </w:rPr>
        <w:t>HCV</w:t>
      </w:r>
      <w:r w:rsidRPr="00ED536B">
        <w:rPr>
          <w:rFonts w:ascii="Calibri" w:eastAsia="Calibri" w:hAnsi="Calibri" w:cs="Calibri"/>
        </w:rPr>
        <w:t xml:space="preserve"> и оценку печеночного фиброза, было уже закончено [видят</w:t>
      </w:r>
      <w:hyperlink r:id="rId10">
        <w:r w:rsidRPr="00ED536B">
          <w:rPr>
            <w:rFonts w:ascii="Calibri" w:eastAsia="Calibri" w:hAnsi="Calibri" w:cs="Calibri"/>
            <w:b/>
            <w:color w:val="0000FF"/>
            <w:u w:val="single" w:color="0000FF"/>
          </w:rPr>
          <w:t>, Кого и Когда Лечить</w:t>
        </w:r>
      </w:hyperlink>
      <w:r w:rsidRPr="00ED536B">
        <w:rPr>
          <w:rFonts w:ascii="Calibri" w:eastAsia="Calibri" w:hAnsi="Calibri" w:cs="Calibri"/>
        </w:rPr>
        <w:t xml:space="preserve"> </w:t>
      </w:r>
      <w:r w:rsidRPr="00ED536B">
        <w:rPr>
          <w:rFonts w:ascii="Calibri" w:eastAsia="Calibri" w:hAnsi="Calibri" w:cs="Calibri"/>
          <w:sz w:val="15"/>
        </w:rPr>
        <w:t>[3]</w:t>
      </w:r>
      <w:r w:rsidRPr="00ED536B">
        <w:rPr>
          <w:rFonts w:ascii="Calibri" w:eastAsia="Calibri" w:hAnsi="Calibri" w:cs="Calibri"/>
        </w:rPr>
        <w:t>].</w:t>
      </w:r>
    </w:p>
    <w:p w:rsidR="00ED536B" w:rsidRPr="00ED536B" w:rsidRDefault="00ED536B" w:rsidP="0027624C">
      <w:pPr>
        <w:spacing w:after="247" w:line="262" w:lineRule="auto"/>
        <w:ind w:left="-5" w:right="24" w:hanging="10"/>
      </w:pPr>
      <w:r w:rsidRPr="00ED536B">
        <w:rPr>
          <w:rFonts w:ascii="Calibri" w:eastAsia="Calibri" w:hAnsi="Calibri" w:cs="Calibri"/>
        </w:rPr>
        <w:t xml:space="preserve">До стартового лечения пациенты должны быть оценены на потенциальное взаимодействие лекарств с отобранными антивирусными лекарствами (например, </w:t>
      </w:r>
      <w:hyperlink r:id="rId11">
        <w:r w:rsidRPr="00AF60BF">
          <w:rPr>
            <w:rFonts w:ascii="Calibri" w:eastAsia="Calibri" w:hAnsi="Calibri" w:cs="Calibri"/>
            <w:b/>
            <w:color w:val="0000FF"/>
            <w:u w:val="single" w:color="0000FF"/>
            <w:lang w:val="en-US"/>
          </w:rPr>
          <w:t>http</w:t>
        </w:r>
        <w:r w:rsidRPr="00ED536B">
          <w:rPr>
            <w:rFonts w:ascii="Calibri" w:eastAsia="Calibri" w:hAnsi="Calibri" w:cs="Calibri"/>
            <w:b/>
            <w:color w:val="0000FF"/>
            <w:u w:val="single" w:color="0000FF"/>
          </w:rPr>
          <w:t>://</w:t>
        </w:r>
        <w:r w:rsidRPr="00AF60BF">
          <w:rPr>
            <w:rFonts w:ascii="Calibri" w:eastAsia="Calibri" w:hAnsi="Calibri" w:cs="Calibri"/>
            <w:b/>
            <w:color w:val="0000FF"/>
            <w:u w:val="single" w:color="0000FF"/>
            <w:lang w:val="en-US"/>
          </w:rPr>
          <w:t>www</w:t>
        </w:r>
        <w:r w:rsidRPr="00ED536B">
          <w:rPr>
            <w:rFonts w:ascii="Calibri" w:eastAsia="Calibri" w:hAnsi="Calibri" w:cs="Calibri"/>
            <w:b/>
            <w:color w:val="0000FF"/>
            <w:u w:val="single" w:color="0000FF"/>
          </w:rPr>
          <w:t>.</w:t>
        </w:r>
        <w:r w:rsidRPr="00AF60BF">
          <w:rPr>
            <w:rFonts w:ascii="Calibri" w:eastAsia="Calibri" w:hAnsi="Calibri" w:cs="Calibri"/>
            <w:b/>
            <w:color w:val="0000FF"/>
            <w:u w:val="single" w:color="0000FF"/>
            <w:lang w:val="en-US"/>
          </w:rPr>
          <w:t>hep</w:t>
        </w:r>
        <w:r w:rsidRPr="00ED536B">
          <w:rPr>
            <w:rFonts w:ascii="Calibri" w:eastAsia="Calibri" w:hAnsi="Calibri" w:cs="Calibri"/>
            <w:b/>
            <w:color w:val="0000FF"/>
            <w:u w:val="single" w:color="0000FF"/>
          </w:rPr>
          <w:t>-</w:t>
        </w:r>
        <w:r w:rsidRPr="00AF60BF">
          <w:rPr>
            <w:rFonts w:ascii="Calibri" w:eastAsia="Calibri" w:hAnsi="Calibri" w:cs="Calibri"/>
            <w:b/>
            <w:color w:val="0000FF"/>
            <w:u w:val="single" w:color="0000FF"/>
            <w:lang w:val="en-US"/>
          </w:rPr>
          <w:t>druginteractions</w:t>
        </w:r>
        <w:r w:rsidRPr="00ED536B">
          <w:rPr>
            <w:rFonts w:ascii="Calibri" w:eastAsia="Calibri" w:hAnsi="Calibri" w:cs="Calibri"/>
            <w:b/>
            <w:color w:val="0000FF"/>
            <w:u w:val="single" w:color="0000FF"/>
          </w:rPr>
          <w:t>.</w:t>
        </w:r>
        <w:r w:rsidRPr="00AF60BF">
          <w:rPr>
            <w:rFonts w:ascii="Calibri" w:eastAsia="Calibri" w:hAnsi="Calibri" w:cs="Calibri"/>
            <w:b/>
            <w:color w:val="0000FF"/>
            <w:u w:val="single" w:color="0000FF"/>
            <w:lang w:val="en-US"/>
          </w:rPr>
          <w:t>org</w:t>
        </w:r>
        <w:r w:rsidRPr="00ED536B">
          <w:rPr>
            <w:rFonts w:ascii="Calibri" w:eastAsia="Calibri" w:hAnsi="Calibri" w:cs="Calibri"/>
            <w:b/>
            <w:color w:val="0000FF"/>
            <w:u w:val="single" w:color="0000FF"/>
          </w:rPr>
          <w:t>/</w:t>
        </w:r>
      </w:hyperlink>
      <w:r w:rsidRPr="00ED536B">
        <w:rPr>
          <w:rFonts w:ascii="Calibri" w:eastAsia="Calibri" w:hAnsi="Calibri" w:cs="Calibri"/>
        </w:rPr>
        <w:t xml:space="preserve"> [4]). Пациенты должны также быть образованы на надлежащем назначении лекарств (например, доза лекарств, частота принятия лекарств, с или без еды, пропущенных доз, ожидала продолжительность, неблагоприятные эффекты, и т.д.), первостепенная важность приверженности и необходимость тщательного наблюдения и анализов крови в течение и после лечения.</w:t>
      </w:r>
    </w:p>
    <w:p w:rsidR="00ED536B" w:rsidRPr="00ED536B" w:rsidRDefault="00ED536B" w:rsidP="0027624C">
      <w:pPr>
        <w:spacing w:after="247" w:line="262" w:lineRule="auto"/>
        <w:ind w:left="-5" w:right="24" w:hanging="10"/>
      </w:pPr>
      <w:r w:rsidRPr="00ED536B">
        <w:rPr>
          <w:rFonts w:ascii="Calibri" w:eastAsia="Calibri" w:hAnsi="Calibri" w:cs="Calibri"/>
        </w:rPr>
        <w:t>Во время лечения люди должны быть проконтролированы в клинически адекватных интервалах, чтобы гарантировать приверженность лечения, оценить нежелательные явления и потенциальное взаимодействие лекарств, и контролировать результаты анализа крови, необходимые для безопасности пациентов. Частота и тип контакта (например, посещение клиники, телефонный звонок, и т.д.) являются переменными, но должны быть достаточными, чтобы оценить безопасность пациентов и реакцию на лечение, как обрисовано в общих чертах выше.</w:t>
      </w:r>
    </w:p>
    <w:p w:rsidR="00ED536B" w:rsidRPr="00ED536B" w:rsidRDefault="00ED536B" w:rsidP="0027624C">
      <w:pPr>
        <w:spacing w:after="0" w:line="262" w:lineRule="auto"/>
        <w:ind w:left="-5" w:right="24" w:hanging="10"/>
      </w:pPr>
      <w:r w:rsidRPr="00ED536B">
        <w:rPr>
          <w:rFonts w:ascii="Calibri" w:eastAsia="Calibri" w:hAnsi="Calibri" w:cs="Calibri"/>
        </w:rPr>
        <w:t xml:space="preserve">Оценка вирусного груза </w:t>
      </w:r>
      <w:r w:rsidRPr="00AF60BF">
        <w:rPr>
          <w:rFonts w:ascii="Calibri" w:eastAsia="Calibri" w:hAnsi="Calibri" w:cs="Calibri"/>
          <w:lang w:val="en-US"/>
        </w:rPr>
        <w:t>HCV</w:t>
      </w:r>
      <w:r w:rsidRPr="00ED536B">
        <w:rPr>
          <w:rFonts w:ascii="Calibri" w:eastAsia="Calibri" w:hAnsi="Calibri" w:cs="Calibri"/>
        </w:rPr>
        <w:t xml:space="preserve"> в неделю 4 из терапии полезна, чтобы определить начальную реакцию на терапию и приверженность. В клинических испытаниях фазы </w:t>
      </w:r>
      <w:r w:rsidRPr="00AF60BF">
        <w:rPr>
          <w:rFonts w:ascii="Calibri" w:eastAsia="Calibri" w:hAnsi="Calibri" w:cs="Calibri"/>
          <w:lang w:val="en-US"/>
        </w:rPr>
        <w:t>III</w:t>
      </w:r>
      <w:r w:rsidRPr="00ED536B">
        <w:rPr>
          <w:rFonts w:ascii="Calibri" w:eastAsia="Calibri" w:hAnsi="Calibri" w:cs="Calibri"/>
        </w:rPr>
        <w:t xml:space="preserve"> почти все пациенты, у которых не было цирроза, имели невыявленный</w:t>
      </w:r>
    </w:p>
    <w:p w:rsidR="00ED536B" w:rsidRPr="00ED536B" w:rsidRDefault="00ED536B" w:rsidP="0027624C">
      <w:pPr>
        <w:spacing w:after="247" w:line="262" w:lineRule="auto"/>
        <w:ind w:left="-5" w:right="24" w:hanging="10"/>
      </w:pPr>
      <w:r w:rsidRPr="00ED536B">
        <w:rPr>
          <w:rFonts w:ascii="Calibri" w:eastAsia="Calibri" w:hAnsi="Calibri" w:cs="Calibri"/>
        </w:rPr>
        <w:t xml:space="preserve">Уровень РНК </w:t>
      </w:r>
      <w:r w:rsidRPr="00AF60BF">
        <w:rPr>
          <w:rFonts w:ascii="Calibri" w:eastAsia="Calibri" w:hAnsi="Calibri" w:cs="Calibri"/>
          <w:lang w:val="en-US"/>
        </w:rPr>
        <w:t>HCV</w:t>
      </w:r>
      <w:r w:rsidRPr="00ED536B">
        <w:rPr>
          <w:rFonts w:ascii="Calibri" w:eastAsia="Calibri" w:hAnsi="Calibri" w:cs="Calibri"/>
        </w:rPr>
        <w:t xml:space="preserve"> в неделю 4; те с циррозом могут потребовать больше чем 4 недель лечения, прежде чем уровень РНК </w:t>
      </w:r>
      <w:r w:rsidRPr="00AF60BF">
        <w:rPr>
          <w:rFonts w:ascii="Calibri" w:eastAsia="Calibri" w:hAnsi="Calibri" w:cs="Calibri"/>
          <w:lang w:val="en-US"/>
        </w:rPr>
        <w:t>HCV</w:t>
      </w:r>
      <w:r w:rsidRPr="00ED536B">
        <w:rPr>
          <w:rFonts w:ascii="Calibri" w:eastAsia="Calibri" w:hAnsi="Calibri" w:cs="Calibri"/>
        </w:rPr>
        <w:t xml:space="preserve"> будет невыявлен. Существуют минимальные данные по тому, как использовать уровень РНК </w:t>
      </w:r>
      <w:r w:rsidRPr="00AF60BF">
        <w:rPr>
          <w:rFonts w:ascii="Calibri" w:eastAsia="Calibri" w:hAnsi="Calibri" w:cs="Calibri"/>
          <w:lang w:val="en-US"/>
        </w:rPr>
        <w:t>HCV</w:t>
      </w:r>
      <w:r w:rsidRPr="00ED536B">
        <w:rPr>
          <w:rFonts w:ascii="Calibri" w:eastAsia="Calibri" w:hAnsi="Calibri" w:cs="Calibri"/>
        </w:rPr>
        <w:t xml:space="preserve"> во время лечения, чтобы определить, когда остановить лечение для тщетности. Текущая рекомендация повторить количественное тестирование РНК </w:t>
      </w:r>
      <w:r w:rsidRPr="00AF60BF">
        <w:rPr>
          <w:rFonts w:ascii="Calibri" w:eastAsia="Calibri" w:hAnsi="Calibri" w:cs="Calibri"/>
          <w:lang w:val="en-US"/>
        </w:rPr>
        <w:t>HCV</w:t>
      </w:r>
      <w:r w:rsidRPr="00ED536B">
        <w:rPr>
          <w:rFonts w:ascii="Calibri" w:eastAsia="Calibri" w:hAnsi="Calibri" w:cs="Calibri"/>
        </w:rPr>
        <w:t xml:space="preserve"> в неделю 4 из лечения и прекратить лечение, если количественные увеличения уровня РНК </w:t>
      </w:r>
      <w:r w:rsidRPr="00AF60BF">
        <w:rPr>
          <w:rFonts w:ascii="Calibri" w:eastAsia="Calibri" w:hAnsi="Calibri" w:cs="Calibri"/>
          <w:lang w:val="en-US"/>
        </w:rPr>
        <w:t>HCV</w:t>
      </w:r>
      <w:r w:rsidRPr="00ED536B">
        <w:rPr>
          <w:rFonts w:ascii="Calibri" w:eastAsia="Calibri" w:hAnsi="Calibri" w:cs="Calibri"/>
        </w:rPr>
        <w:t xml:space="preserve"> больше, чем 10-кратным (&gt; 1 </w:t>
      </w:r>
      <w:r w:rsidRPr="00AF60BF">
        <w:rPr>
          <w:rFonts w:ascii="Calibri" w:eastAsia="Calibri" w:hAnsi="Calibri" w:cs="Calibri"/>
          <w:lang w:val="en-US"/>
        </w:rPr>
        <w:t>log</w:t>
      </w:r>
      <w:r w:rsidRPr="00ED536B">
        <w:rPr>
          <w:rFonts w:ascii="Calibri" w:eastAsia="Calibri" w:hAnsi="Calibri" w:cs="Calibri"/>
        </w:rPr>
        <w:t xml:space="preserve">10 </w:t>
      </w:r>
      <w:r w:rsidRPr="00AF60BF">
        <w:rPr>
          <w:rFonts w:ascii="Calibri" w:eastAsia="Calibri" w:hAnsi="Calibri" w:cs="Calibri"/>
          <w:lang w:val="en-US"/>
        </w:rPr>
        <w:t>IU</w:t>
      </w:r>
      <w:r w:rsidRPr="00ED536B">
        <w:rPr>
          <w:rFonts w:ascii="Calibri" w:eastAsia="Calibri" w:hAnsi="Calibri" w:cs="Calibri"/>
        </w:rPr>
        <w:t>/</w:t>
      </w:r>
      <w:r w:rsidRPr="00AF60BF">
        <w:rPr>
          <w:rFonts w:ascii="Calibri" w:eastAsia="Calibri" w:hAnsi="Calibri" w:cs="Calibri"/>
          <w:lang w:val="en-US"/>
        </w:rPr>
        <w:t>mL</w:t>
      </w:r>
      <w:r w:rsidRPr="00ED536B">
        <w:rPr>
          <w:rFonts w:ascii="Calibri" w:eastAsia="Calibri" w:hAnsi="Calibri" w:cs="Calibri"/>
        </w:rPr>
        <w:t xml:space="preserve">) основывается на мнении эксперта. Нет никаких данных, чтобы поддержать останавливающееся лечение на основе поддающихся обнаружению результатов РНК </w:t>
      </w:r>
      <w:r w:rsidRPr="00AF60BF">
        <w:rPr>
          <w:rFonts w:ascii="Calibri" w:eastAsia="Calibri" w:hAnsi="Calibri" w:cs="Calibri"/>
          <w:lang w:val="en-US"/>
        </w:rPr>
        <w:t>HCV</w:t>
      </w:r>
      <w:r w:rsidRPr="00ED536B">
        <w:rPr>
          <w:rFonts w:ascii="Calibri" w:eastAsia="Calibri" w:hAnsi="Calibri" w:cs="Calibri"/>
        </w:rPr>
        <w:t xml:space="preserve"> в недели 2, 3, или 4 из лечения, или что поддающийся обнаружению уровень РНК </w:t>
      </w:r>
      <w:r w:rsidRPr="00AF60BF">
        <w:rPr>
          <w:rFonts w:ascii="Calibri" w:eastAsia="Calibri" w:hAnsi="Calibri" w:cs="Calibri"/>
          <w:lang w:val="en-US"/>
        </w:rPr>
        <w:t>HCV</w:t>
      </w:r>
      <w:r w:rsidRPr="00ED536B">
        <w:rPr>
          <w:rFonts w:ascii="Calibri" w:eastAsia="Calibri" w:hAnsi="Calibri" w:cs="Calibri"/>
        </w:rPr>
        <w:t xml:space="preserve"> в этих моментах времени показывает неприверженность лечения. Несмотря на то, что тестирование РНК </w:t>
      </w:r>
      <w:r w:rsidRPr="00AF60BF">
        <w:rPr>
          <w:rFonts w:ascii="Calibri" w:eastAsia="Calibri" w:hAnsi="Calibri" w:cs="Calibri"/>
          <w:lang w:val="en-US"/>
        </w:rPr>
        <w:t>HCV</w:t>
      </w:r>
      <w:r w:rsidRPr="00ED536B">
        <w:rPr>
          <w:rFonts w:ascii="Calibri" w:eastAsia="Calibri" w:hAnsi="Calibri" w:cs="Calibri"/>
        </w:rPr>
        <w:t xml:space="preserve"> рекомендуется в неделю 4 из лечения, отсутствие уровня РНК </w:t>
      </w:r>
      <w:r w:rsidRPr="00AF60BF">
        <w:rPr>
          <w:rFonts w:ascii="Calibri" w:eastAsia="Calibri" w:hAnsi="Calibri" w:cs="Calibri"/>
          <w:lang w:val="en-US"/>
        </w:rPr>
        <w:t>HCV</w:t>
      </w:r>
      <w:r w:rsidRPr="00ED536B">
        <w:rPr>
          <w:rFonts w:ascii="Calibri" w:eastAsia="Calibri" w:hAnsi="Calibri" w:cs="Calibri"/>
        </w:rPr>
        <w:t xml:space="preserve"> в неделю 4 не является причиной прекратить лечение. Количественное тестирование уровня РНК </w:t>
      </w:r>
      <w:r w:rsidRPr="00AF60BF">
        <w:rPr>
          <w:rFonts w:ascii="Calibri" w:eastAsia="Calibri" w:hAnsi="Calibri" w:cs="Calibri"/>
          <w:lang w:val="en-US"/>
        </w:rPr>
        <w:t>HCV</w:t>
      </w:r>
      <w:r w:rsidRPr="00ED536B">
        <w:rPr>
          <w:rFonts w:ascii="Calibri" w:eastAsia="Calibri" w:hAnsi="Calibri" w:cs="Calibri"/>
        </w:rPr>
        <w:t xml:space="preserve"> в конце лечения поможет дифференцировать вирусный прорыв от рецидива, при необходимости. Некоторые могут решить предшествовать концу лечения вирусное тестирование груза учитывая высокие показатели вирусной реакции с более новыми режимами, и сосредоточить на неделе 12 последующего лечения вирусный груз. Вирусологический рецидив редок в 12 или больше недель после завершения лечения. Тем не менее, повторите, что количественное тестирование РНК </w:t>
      </w:r>
      <w:r w:rsidRPr="00AF60BF">
        <w:rPr>
          <w:rFonts w:ascii="Calibri" w:eastAsia="Calibri" w:hAnsi="Calibri" w:cs="Calibri"/>
          <w:lang w:val="en-US"/>
        </w:rPr>
        <w:t>HCV</w:t>
      </w:r>
      <w:r w:rsidRPr="00ED536B">
        <w:rPr>
          <w:rFonts w:ascii="Calibri" w:eastAsia="Calibri" w:hAnsi="Calibri" w:cs="Calibri"/>
        </w:rPr>
        <w:t xml:space="preserve"> можно рассмотреть в 24 или больше недели после прекращающегося лечения для отобранных пациентов.</w:t>
      </w:r>
    </w:p>
    <w:p w:rsidR="00ED536B" w:rsidRPr="00ED536B" w:rsidRDefault="00ED536B" w:rsidP="0027624C">
      <w:pPr>
        <w:spacing w:after="247" w:line="262" w:lineRule="auto"/>
        <w:ind w:left="-5" w:right="24" w:hanging="10"/>
      </w:pPr>
      <w:r w:rsidRPr="00ED536B">
        <w:rPr>
          <w:rFonts w:ascii="Calibri" w:eastAsia="Calibri" w:hAnsi="Calibri" w:cs="Calibri"/>
        </w:rPr>
        <w:t xml:space="preserve">Доступность режимов </w:t>
      </w:r>
      <w:r w:rsidRPr="00AF60BF">
        <w:rPr>
          <w:rFonts w:ascii="Calibri" w:eastAsia="Calibri" w:hAnsi="Calibri" w:cs="Calibri"/>
          <w:lang w:val="en-US"/>
        </w:rPr>
        <w:t>IFN</w:t>
      </w:r>
      <w:r w:rsidRPr="00ED536B">
        <w:rPr>
          <w:rFonts w:ascii="Calibri" w:eastAsia="Calibri" w:hAnsi="Calibri" w:cs="Calibri"/>
        </w:rPr>
        <w:t xml:space="preserve">-бесплатного-лечения упростила терапию гепатита С путем разрешения </w:t>
      </w:r>
      <w:r w:rsidRPr="00AF60BF">
        <w:rPr>
          <w:rFonts w:ascii="Calibri" w:eastAsia="Calibri" w:hAnsi="Calibri" w:cs="Calibri"/>
          <w:lang w:val="en-US"/>
        </w:rPr>
        <w:t>shorterduration</w:t>
      </w:r>
      <w:r w:rsidRPr="00ED536B">
        <w:rPr>
          <w:rFonts w:ascii="Calibri" w:eastAsia="Calibri" w:hAnsi="Calibri" w:cs="Calibri"/>
        </w:rPr>
        <w:t>, все-пероральную терапию для большинства пациентов. Однако ШТИФТ-</w:t>
      </w:r>
      <w:r w:rsidRPr="00AF60BF">
        <w:rPr>
          <w:rFonts w:ascii="Calibri" w:eastAsia="Calibri" w:hAnsi="Calibri" w:cs="Calibri"/>
          <w:lang w:val="en-US"/>
        </w:rPr>
        <w:t>IFN</w:t>
      </w:r>
      <w:r w:rsidRPr="00ED536B">
        <w:rPr>
          <w:rFonts w:ascii="Calibri" w:eastAsia="Calibri" w:hAnsi="Calibri" w:cs="Calibri"/>
        </w:rPr>
        <w:t xml:space="preserve"> и основанные на </w:t>
      </w:r>
      <w:r w:rsidRPr="00AF60BF">
        <w:rPr>
          <w:rFonts w:ascii="Calibri" w:eastAsia="Calibri" w:hAnsi="Calibri" w:cs="Calibri"/>
          <w:lang w:val="en-US"/>
        </w:rPr>
        <w:t>RBV</w:t>
      </w:r>
      <w:r w:rsidRPr="00ED536B">
        <w:rPr>
          <w:rFonts w:ascii="Calibri" w:eastAsia="Calibri" w:hAnsi="Calibri" w:cs="Calibri"/>
        </w:rPr>
        <w:t xml:space="preserve"> режимы полезны для отобранных пациентов, и они требуют определенного контроля для токсичных эффектов (например, анемия или нейтропения) связанный с использованием </w:t>
      </w:r>
      <w:r w:rsidRPr="00AF60BF">
        <w:rPr>
          <w:rFonts w:ascii="Calibri" w:eastAsia="Calibri" w:hAnsi="Calibri" w:cs="Calibri"/>
          <w:lang w:val="en-US"/>
        </w:rPr>
        <w:t>RBV</w:t>
      </w:r>
      <w:r w:rsidRPr="00ED536B">
        <w:rPr>
          <w:rFonts w:ascii="Calibri" w:eastAsia="Calibri" w:hAnsi="Calibri" w:cs="Calibri"/>
        </w:rPr>
        <w:t xml:space="preserve"> или ШТИФТОМ-</w:t>
      </w:r>
      <w:r w:rsidRPr="00AF60BF">
        <w:rPr>
          <w:rFonts w:ascii="Calibri" w:eastAsia="Calibri" w:hAnsi="Calibri" w:cs="Calibri"/>
          <w:lang w:val="en-US"/>
        </w:rPr>
        <w:t>IFN</w:t>
      </w:r>
      <w:r w:rsidRPr="00ED536B">
        <w:rPr>
          <w:rFonts w:ascii="Calibri" w:eastAsia="Calibri" w:hAnsi="Calibri" w:cs="Calibri"/>
        </w:rPr>
        <w:t>. (</w:t>
      </w:r>
      <w:hyperlink r:id="rId12" w:anchor="genentech2014a">
        <w:r w:rsidRPr="00AF60BF">
          <w:rPr>
            <w:rFonts w:ascii="Calibri" w:eastAsia="Calibri" w:hAnsi="Calibri" w:cs="Calibri"/>
            <w:color w:val="0000FF"/>
            <w:u w:val="single" w:color="0000FF"/>
            <w:lang w:val="en-US"/>
          </w:rPr>
          <w:t>RBV</w:t>
        </w:r>
        <w:r w:rsidRPr="00ED536B">
          <w:rPr>
            <w:rFonts w:ascii="Calibri" w:eastAsia="Calibri" w:hAnsi="Calibri" w:cs="Calibri"/>
            <w:color w:val="0000FF"/>
            <w:u w:val="single" w:color="0000FF"/>
          </w:rPr>
          <w:t xml:space="preserve"> предписание информации, 2014 [5]</w:t>
        </w:r>
      </w:hyperlink>
      <w:r w:rsidRPr="00ED536B">
        <w:rPr>
          <w:rFonts w:ascii="Calibri" w:eastAsia="Calibri" w:hAnsi="Calibri" w:cs="Calibri"/>
        </w:rPr>
        <w:t>); (</w:t>
      </w:r>
      <w:hyperlink r:id="rId13" w:anchor="genentech2014b">
        <w:r w:rsidRPr="00ED536B">
          <w:rPr>
            <w:rFonts w:ascii="Calibri" w:eastAsia="Calibri" w:hAnsi="Calibri" w:cs="Calibri"/>
            <w:color w:val="0000FF"/>
            <w:u w:val="single" w:color="0000FF"/>
          </w:rPr>
          <w:t>информация</w:t>
        </w:r>
      </w:hyperlink>
      <w:hyperlink r:id="rId14" w:anchor="genentech2014b">
        <w:r w:rsidRPr="00ED536B">
          <w:rPr>
            <w:rFonts w:ascii="Calibri" w:eastAsia="Calibri" w:hAnsi="Calibri" w:cs="Calibri"/>
            <w:color w:val="0000FF"/>
            <w:u w:val="single" w:color="0000FF"/>
          </w:rPr>
          <w:t>о предписании ШТИФТА-</w:t>
        </w:r>
        <w:r w:rsidRPr="00AF60BF">
          <w:rPr>
            <w:rFonts w:ascii="Calibri" w:eastAsia="Calibri" w:hAnsi="Calibri" w:cs="Calibri"/>
            <w:color w:val="0000FF"/>
            <w:u w:val="single" w:color="0000FF"/>
            <w:lang w:val="en-US"/>
          </w:rPr>
          <w:t>IFN</w:t>
        </w:r>
      </w:hyperlink>
      <w:hyperlink r:id="rId15" w:anchor="genentech2014b">
        <w:r w:rsidRPr="00ED536B">
          <w:rPr>
            <w:rFonts w:ascii="Calibri" w:eastAsia="Calibri" w:hAnsi="Calibri" w:cs="Calibri"/>
            <w:color w:val="0000FF"/>
            <w:u w:val="single" w:color="0000FF"/>
          </w:rPr>
          <w:t>, 2014 [6]</w:t>
        </w:r>
      </w:hyperlink>
      <w:r w:rsidRPr="00ED536B">
        <w:rPr>
          <w:rFonts w:ascii="Calibri" w:eastAsia="Calibri" w:hAnsi="Calibri" w:cs="Calibri"/>
        </w:rPr>
        <w:t xml:space="preserve">) У больных с историей сердечно-сосудистого заболевания, сокращение дозы </w:t>
      </w:r>
      <w:r w:rsidRPr="00AF60BF">
        <w:rPr>
          <w:rFonts w:ascii="Calibri" w:eastAsia="Calibri" w:hAnsi="Calibri" w:cs="Calibri"/>
          <w:lang w:val="en-US"/>
        </w:rPr>
        <w:t>RBV</w:t>
      </w:r>
      <w:r w:rsidRPr="00ED536B">
        <w:rPr>
          <w:rFonts w:ascii="Calibri" w:eastAsia="Calibri" w:hAnsi="Calibri" w:cs="Calibri"/>
        </w:rPr>
        <w:t xml:space="preserve"> к 600 мг в день рекомендуется для тех с гемоглобином (</w:t>
      </w:r>
      <w:r w:rsidRPr="00AF60BF">
        <w:rPr>
          <w:rFonts w:ascii="Calibri" w:eastAsia="Calibri" w:hAnsi="Calibri" w:cs="Calibri"/>
          <w:lang w:val="en-US"/>
        </w:rPr>
        <w:t>Hgb</w:t>
      </w:r>
      <w:r w:rsidRPr="00ED536B">
        <w:rPr>
          <w:rFonts w:ascii="Calibri" w:eastAsia="Calibri" w:hAnsi="Calibri" w:cs="Calibri"/>
        </w:rPr>
        <w:t xml:space="preserve">), уровень ниже 10 г/дл и прекращение рекомендуются для тех с </w:t>
      </w:r>
      <w:r w:rsidRPr="00AF60BF">
        <w:rPr>
          <w:rFonts w:ascii="Calibri" w:eastAsia="Calibri" w:hAnsi="Calibri" w:cs="Calibri"/>
          <w:lang w:val="en-US"/>
        </w:rPr>
        <w:t>Hgb</w:t>
      </w:r>
      <w:r w:rsidRPr="00ED536B">
        <w:rPr>
          <w:rFonts w:ascii="Calibri" w:eastAsia="Calibri" w:hAnsi="Calibri" w:cs="Calibri"/>
        </w:rPr>
        <w:t xml:space="preserve"> ниже 8,5 г/дл. Кроме того, несмотря на то, что более новые все-оральные режимы обычно хорошо выносятся, неблагоприятные эффекты действительно происходят. Расширение терапии в значительную часть населения пациентов может показать токсичные эффекты, которые не очевидны в регистрационных испытаниях. Кроме того, взаимодействие лекарств возможны.</w:t>
      </w:r>
    </w:p>
    <w:p w:rsidR="00ED536B" w:rsidRPr="00ED536B" w:rsidRDefault="00ED536B" w:rsidP="0027624C">
      <w:pPr>
        <w:spacing w:after="0" w:line="262" w:lineRule="auto"/>
        <w:ind w:left="-5" w:right="24" w:hanging="10"/>
      </w:pPr>
      <w:r w:rsidRPr="00AF60BF">
        <w:rPr>
          <w:rFonts w:ascii="Calibri" w:eastAsia="Calibri" w:hAnsi="Calibri" w:cs="Calibri"/>
          <w:lang w:val="en-US"/>
        </w:rPr>
        <w:t>RBV</w:t>
      </w:r>
      <w:r w:rsidRPr="00ED536B">
        <w:rPr>
          <w:rFonts w:ascii="Calibri" w:eastAsia="Calibri" w:hAnsi="Calibri" w:cs="Calibri"/>
        </w:rPr>
        <w:t xml:space="preserve"> вызывает внутриутробную смерть и эмбриональные патологии у животных, и таким образом это обязательно для людей потенциала рождения ребенка, получающих лекарственное средство, чтобы использовать по крайней мере 2 надежных формы эффективной контрацепции во время лечения и сроком на 6 месяцев после того. Рекомендуется, чтобы практик здравоохранения задокументировал обсуждение потенциальных тератогенных эффектов </w:t>
      </w:r>
      <w:r w:rsidRPr="00AF60BF">
        <w:rPr>
          <w:rFonts w:ascii="Calibri" w:eastAsia="Calibri" w:hAnsi="Calibri" w:cs="Calibri"/>
          <w:lang w:val="en-US"/>
        </w:rPr>
        <w:t>RBV</w:t>
      </w:r>
      <w:r w:rsidRPr="00ED536B">
        <w:rPr>
          <w:rFonts w:ascii="Calibri" w:eastAsia="Calibri" w:hAnsi="Calibri" w:cs="Calibri"/>
        </w:rPr>
        <w:t xml:space="preserve"> в медицинской документации пациента. </w:t>
      </w:r>
      <w:r w:rsidRPr="00AF60BF">
        <w:rPr>
          <w:rFonts w:ascii="Calibri" w:eastAsia="Calibri" w:hAnsi="Calibri" w:cs="Calibri"/>
          <w:lang w:val="en-US"/>
        </w:rPr>
        <w:t>Sofosbuvir</w:t>
      </w:r>
      <w:r w:rsidRPr="00ED536B">
        <w:rPr>
          <w:rFonts w:ascii="Calibri" w:eastAsia="Calibri" w:hAnsi="Calibri" w:cs="Calibri"/>
        </w:rPr>
        <w:t xml:space="preserve">, </w:t>
      </w:r>
      <w:r w:rsidRPr="00AF60BF">
        <w:rPr>
          <w:rFonts w:ascii="Calibri" w:eastAsia="Calibri" w:hAnsi="Calibri" w:cs="Calibri"/>
          <w:lang w:val="en-US"/>
        </w:rPr>
        <w:t>ledipasvir</w:t>
      </w:r>
      <w:r w:rsidRPr="00ED536B">
        <w:rPr>
          <w:rFonts w:ascii="Calibri" w:eastAsia="Calibri" w:hAnsi="Calibri" w:cs="Calibri"/>
        </w:rPr>
        <w:t xml:space="preserve">, </w:t>
      </w:r>
      <w:r w:rsidRPr="00AF60BF">
        <w:rPr>
          <w:rFonts w:ascii="Calibri" w:eastAsia="Calibri" w:hAnsi="Calibri" w:cs="Calibri"/>
          <w:lang w:val="en-US"/>
        </w:rPr>
        <w:t>paritaprevir</w:t>
      </w:r>
      <w:r w:rsidRPr="00ED536B">
        <w:rPr>
          <w:rFonts w:ascii="Calibri" w:eastAsia="Calibri" w:hAnsi="Calibri" w:cs="Calibri"/>
        </w:rPr>
        <w:t xml:space="preserve">, </w:t>
      </w:r>
      <w:r w:rsidRPr="00AF60BF">
        <w:rPr>
          <w:rFonts w:ascii="Calibri" w:eastAsia="Calibri" w:hAnsi="Calibri" w:cs="Calibri"/>
          <w:lang w:val="en-US"/>
        </w:rPr>
        <w:t>ombitasvir</w:t>
      </w:r>
      <w:r w:rsidRPr="00ED536B">
        <w:rPr>
          <w:rFonts w:ascii="Calibri" w:eastAsia="Calibri" w:hAnsi="Calibri" w:cs="Calibri"/>
        </w:rPr>
        <w:t xml:space="preserve">, и </w:t>
      </w:r>
      <w:r w:rsidRPr="00AF60BF">
        <w:rPr>
          <w:rFonts w:ascii="Calibri" w:eastAsia="Calibri" w:hAnsi="Calibri" w:cs="Calibri"/>
          <w:lang w:val="en-US"/>
        </w:rPr>
        <w:t>dasabuvir</w:t>
      </w:r>
      <w:r w:rsidRPr="00ED536B">
        <w:rPr>
          <w:rFonts w:ascii="Calibri" w:eastAsia="Calibri" w:hAnsi="Calibri" w:cs="Calibri"/>
        </w:rPr>
        <w:t xml:space="preserve"> являются категорией беременности </w:t>
      </w:r>
      <w:r w:rsidRPr="00AF60BF">
        <w:rPr>
          <w:rFonts w:ascii="Calibri" w:eastAsia="Calibri" w:hAnsi="Calibri" w:cs="Calibri"/>
          <w:lang w:val="en-US"/>
        </w:rPr>
        <w:t>B</w:t>
      </w:r>
      <w:r w:rsidRPr="00ED536B">
        <w:rPr>
          <w:rFonts w:ascii="Calibri" w:eastAsia="Calibri" w:hAnsi="Calibri" w:cs="Calibri"/>
        </w:rPr>
        <w:t xml:space="preserve">, несмотря на то, что существуют ограниченные данные по использованию этих препаратов во время беременности. Рекомендуется, чтобы у пациенток было полное обсуждение потенциального связанного с беременностью действия препарата до старта противовирусного лечения. Учитывая относительно короткую продолжительность лечения и потенциала, чтобы использовать </w:t>
      </w:r>
      <w:r w:rsidRPr="00AF60BF">
        <w:rPr>
          <w:rFonts w:ascii="Calibri" w:eastAsia="Calibri" w:hAnsi="Calibri" w:cs="Calibri"/>
          <w:lang w:val="en-US"/>
        </w:rPr>
        <w:t>RBV</w:t>
      </w:r>
      <w:r w:rsidRPr="00ED536B">
        <w:rPr>
          <w:rFonts w:ascii="Calibri" w:eastAsia="Calibri" w:hAnsi="Calibri" w:cs="Calibri"/>
        </w:rPr>
        <w:t xml:space="preserve">-свободные режимы во многих пациентах, потенциальных рисках и преимуществах задерживающейся беременности, пока не закончено противовирусное лечение </w:t>
      </w:r>
      <w:r w:rsidRPr="00AF60BF">
        <w:rPr>
          <w:rFonts w:ascii="Calibri" w:eastAsia="Calibri" w:hAnsi="Calibri" w:cs="Calibri"/>
          <w:lang w:val="en-US"/>
        </w:rPr>
        <w:t>HCV</w:t>
      </w:r>
      <w:r w:rsidRPr="00ED536B">
        <w:rPr>
          <w:rFonts w:ascii="Calibri" w:eastAsia="Calibri" w:hAnsi="Calibri" w:cs="Calibri"/>
        </w:rPr>
        <w:t xml:space="preserve">, должен быть рассмотрен. Образование пациентов и сиделок о потенциальных неблагоприятных эффектах и их управлении является составным компонентом лечения и важно для успешного результата во всем населении пациента. </w:t>
      </w:r>
      <w:r w:rsidRPr="00ED536B">
        <w:rPr>
          <w:rFonts w:ascii="Calibri" w:eastAsia="Calibri" w:hAnsi="Calibri" w:cs="Calibri"/>
          <w:shd w:val="clear" w:color="auto" w:fill="FFFF00"/>
        </w:rPr>
        <w:t xml:space="preserve">Для пациентов с данным компенсацию циррозом, переносящих терапию с ежедневной комбинацией фиксированной дозы </w:t>
      </w:r>
      <w:r w:rsidRPr="00AF60BF">
        <w:rPr>
          <w:rFonts w:ascii="Calibri" w:eastAsia="Calibri" w:hAnsi="Calibri" w:cs="Calibri"/>
          <w:shd w:val="clear" w:color="auto" w:fill="FFFF00"/>
          <w:lang w:val="en-US"/>
        </w:rPr>
        <w:t>paritaprevir</w:t>
      </w:r>
      <w:r w:rsidRPr="00ED536B">
        <w:rPr>
          <w:rFonts w:ascii="Calibri" w:eastAsia="Calibri" w:hAnsi="Calibri" w:cs="Calibri"/>
          <w:shd w:val="clear" w:color="auto" w:fill="FFFF00"/>
        </w:rPr>
        <w:t xml:space="preserve"> (150 мг), </w:t>
      </w:r>
      <w:r w:rsidRPr="00AF60BF">
        <w:rPr>
          <w:rFonts w:ascii="Calibri" w:eastAsia="Calibri" w:hAnsi="Calibri" w:cs="Calibri"/>
          <w:shd w:val="clear" w:color="auto" w:fill="FFFF00"/>
          <w:lang w:val="en-US"/>
        </w:rPr>
        <w:t>ritonavir</w:t>
      </w:r>
      <w:r w:rsidRPr="00ED536B">
        <w:rPr>
          <w:rFonts w:ascii="Calibri" w:eastAsia="Calibri" w:hAnsi="Calibri" w:cs="Calibri"/>
          <w:shd w:val="clear" w:color="auto" w:fill="FFFF00"/>
        </w:rPr>
        <w:t xml:space="preserve"> (100 мг), и </w:t>
      </w:r>
      <w:r w:rsidRPr="00AF60BF">
        <w:rPr>
          <w:rFonts w:ascii="Calibri" w:eastAsia="Calibri" w:hAnsi="Calibri" w:cs="Calibri"/>
          <w:shd w:val="clear" w:color="auto" w:fill="FFFF00"/>
          <w:lang w:val="en-US"/>
        </w:rPr>
        <w:t>ombitasvir</w:t>
      </w:r>
      <w:r w:rsidRPr="00ED536B">
        <w:rPr>
          <w:rFonts w:ascii="Calibri" w:eastAsia="Calibri" w:hAnsi="Calibri" w:cs="Calibri"/>
          <w:shd w:val="clear" w:color="auto" w:fill="FFFF00"/>
        </w:rPr>
        <w:t xml:space="preserve"> (25 мг) с или без два раза в день дозируемого </w:t>
      </w:r>
      <w:r w:rsidRPr="00AF60BF">
        <w:rPr>
          <w:rFonts w:ascii="Calibri" w:eastAsia="Calibri" w:hAnsi="Calibri" w:cs="Calibri"/>
          <w:shd w:val="clear" w:color="auto" w:fill="FFFF00"/>
          <w:lang w:val="en-US"/>
        </w:rPr>
        <w:t>dasabuvir</w:t>
      </w:r>
      <w:r w:rsidRPr="00ED536B">
        <w:rPr>
          <w:rFonts w:ascii="Calibri" w:eastAsia="Calibri" w:hAnsi="Calibri" w:cs="Calibri"/>
          <w:shd w:val="clear" w:color="auto" w:fill="FFFF00"/>
        </w:rPr>
        <w:t xml:space="preserve"> (250 мг), начального контроля анализов печени и оценки для клинических доказательств декомпенсации должен выполняться более часто (каждые 1-2 недели) во время</w:t>
      </w:r>
    </w:p>
    <w:p w:rsidR="00ED536B" w:rsidRPr="00AF60BF" w:rsidRDefault="00ED536B" w:rsidP="0027624C">
      <w:pPr>
        <w:shd w:val="clear" w:color="auto" w:fill="FFFF00"/>
        <w:spacing w:after="0"/>
        <w:rPr>
          <w:lang w:val="en-US"/>
        </w:rPr>
      </w:pPr>
      <w:r w:rsidRPr="00ED536B">
        <w:rPr>
          <w:rFonts w:ascii="Calibri" w:eastAsia="Calibri" w:hAnsi="Calibri" w:cs="Calibri"/>
        </w:rPr>
        <w:t xml:space="preserve">первые 4 недели лечения, которые гарантируют раннюю диагностику потенциального лекарственного повреждения печени (см. </w:t>
      </w:r>
      <w:hyperlink r:id="rId16" w:anchor="prod_hepatotoxicity_gl">
        <w:r w:rsidRPr="00AF60BF">
          <w:rPr>
            <w:rFonts w:ascii="Calibri" w:eastAsia="Calibri" w:hAnsi="Calibri" w:cs="Calibri"/>
            <w:color w:val="0000FF"/>
            <w:u w:val="single" w:color="0000FF"/>
            <w:lang w:val="en-US"/>
          </w:rPr>
          <w:t>Начальную букву</w:t>
        </w:r>
      </w:hyperlink>
    </w:p>
    <w:tbl>
      <w:tblPr>
        <w:tblStyle w:val="TableGrid"/>
        <w:tblW w:w="4060" w:type="dxa"/>
        <w:tblInd w:w="0" w:type="dxa"/>
        <w:tblCellMar>
          <w:top w:w="27" w:type="dxa"/>
        </w:tblCellMar>
        <w:tblLook w:val="04A0" w:firstRow="1" w:lastRow="0" w:firstColumn="1" w:lastColumn="0" w:noHBand="0" w:noVBand="1"/>
      </w:tblPr>
      <w:tblGrid>
        <w:gridCol w:w="1104"/>
        <w:gridCol w:w="196"/>
        <w:gridCol w:w="1648"/>
        <w:gridCol w:w="196"/>
        <w:gridCol w:w="916"/>
      </w:tblGrid>
      <w:tr w:rsidR="00ED536B" w:rsidTr="004D5312">
        <w:trPr>
          <w:trHeight w:val="62"/>
        </w:trPr>
        <w:tc>
          <w:tcPr>
            <w:tcW w:w="1104" w:type="dxa"/>
            <w:vMerge w:val="restart"/>
            <w:tcBorders>
              <w:top w:val="nil"/>
              <w:left w:val="nil"/>
              <w:bottom w:val="single" w:sz="4" w:space="0" w:color="0000FF"/>
              <w:right w:val="nil"/>
            </w:tcBorders>
            <w:shd w:val="clear" w:color="auto" w:fill="FFFF00"/>
          </w:tcPr>
          <w:p w:rsidR="00ED536B" w:rsidRDefault="00ED536B" w:rsidP="004D5312">
            <w:pPr>
              <w:jc w:val="both"/>
            </w:pPr>
            <w:hyperlink r:id="rId17" w:anchor="prod_hepatotoxicity_gl">
              <w:r>
                <w:rPr>
                  <w:rFonts w:ascii="Calibri" w:eastAsia="Calibri" w:hAnsi="Calibri" w:cs="Calibri"/>
                  <w:color w:val="0000FF"/>
                </w:rPr>
                <w:t>Лечение</w:t>
              </w:r>
            </w:hyperlink>
            <w:r>
              <w:rPr>
                <w:rFonts w:ascii="Calibri" w:eastAsia="Calibri" w:hAnsi="Calibri" w:cs="Calibri"/>
              </w:rPr>
              <w:t xml:space="preserve"> </w:t>
            </w:r>
          </w:p>
        </w:tc>
        <w:tc>
          <w:tcPr>
            <w:tcW w:w="196" w:type="dxa"/>
            <w:tcBorders>
              <w:top w:val="nil"/>
              <w:left w:val="nil"/>
              <w:bottom w:val="nil"/>
              <w:right w:val="nil"/>
            </w:tcBorders>
          </w:tcPr>
          <w:p w:rsidR="00ED536B" w:rsidRDefault="00ED536B" w:rsidP="004D5312"/>
        </w:tc>
        <w:tc>
          <w:tcPr>
            <w:tcW w:w="1648" w:type="dxa"/>
            <w:vMerge w:val="restart"/>
            <w:tcBorders>
              <w:top w:val="nil"/>
              <w:left w:val="nil"/>
              <w:bottom w:val="nil"/>
              <w:right w:val="nil"/>
            </w:tcBorders>
            <w:shd w:val="clear" w:color="auto" w:fill="FFFF00"/>
          </w:tcPr>
          <w:p w:rsidR="00ED536B" w:rsidRDefault="00ED536B" w:rsidP="004D5312">
            <w:pPr>
              <w:jc w:val="both"/>
            </w:pPr>
            <w:r>
              <w:rPr>
                <w:rFonts w:ascii="Calibri" w:eastAsia="Calibri" w:hAnsi="Calibri" w:cs="Calibri"/>
              </w:rPr>
              <w:t xml:space="preserve"> или </w:t>
            </w:r>
            <w:hyperlink r:id="rId18" w:anchor="prod_hepatotoxicity_gl">
              <w:r>
                <w:rPr>
                  <w:rFonts w:ascii="Calibri" w:eastAsia="Calibri" w:hAnsi="Calibri" w:cs="Calibri"/>
                  <w:color w:val="0000FF"/>
                </w:rPr>
                <w:t>Перелечение</w:t>
              </w:r>
            </w:hyperlink>
            <w:r>
              <w:rPr>
                <w:rFonts w:ascii="Calibri" w:eastAsia="Calibri" w:hAnsi="Calibri" w:cs="Calibri"/>
              </w:rPr>
              <w:t xml:space="preserve"> </w:t>
            </w:r>
          </w:p>
        </w:tc>
        <w:tc>
          <w:tcPr>
            <w:tcW w:w="196" w:type="dxa"/>
            <w:tcBorders>
              <w:top w:val="nil"/>
              <w:left w:val="nil"/>
              <w:bottom w:val="nil"/>
              <w:right w:val="nil"/>
            </w:tcBorders>
          </w:tcPr>
          <w:p w:rsidR="00ED536B" w:rsidRDefault="00ED536B" w:rsidP="004D5312"/>
        </w:tc>
        <w:tc>
          <w:tcPr>
            <w:tcW w:w="916" w:type="dxa"/>
            <w:vMerge w:val="restart"/>
            <w:tcBorders>
              <w:top w:val="nil"/>
              <w:left w:val="nil"/>
              <w:bottom w:val="nil"/>
              <w:right w:val="nil"/>
            </w:tcBorders>
            <w:shd w:val="clear" w:color="auto" w:fill="FFFF00"/>
          </w:tcPr>
          <w:p w:rsidR="00ED536B" w:rsidRDefault="00ED536B" w:rsidP="004D5312">
            <w:pPr>
              <w:jc w:val="both"/>
            </w:pPr>
            <w:r>
              <w:rPr>
                <w:rFonts w:ascii="Calibri" w:eastAsia="Calibri" w:hAnsi="Calibri" w:cs="Calibri"/>
              </w:rPr>
              <w:t xml:space="preserve"> секция).</w:t>
            </w:r>
          </w:p>
        </w:tc>
      </w:tr>
      <w:tr w:rsidR="00ED536B" w:rsidTr="004D5312">
        <w:trPr>
          <w:trHeight w:val="179"/>
        </w:trPr>
        <w:tc>
          <w:tcPr>
            <w:tcW w:w="0" w:type="auto"/>
            <w:vMerge/>
            <w:tcBorders>
              <w:top w:val="nil"/>
              <w:left w:val="nil"/>
              <w:bottom w:val="single" w:sz="4" w:space="0" w:color="0000FF"/>
              <w:right w:val="nil"/>
            </w:tcBorders>
          </w:tcPr>
          <w:p w:rsidR="00ED536B" w:rsidRDefault="00ED536B" w:rsidP="004D5312"/>
        </w:tc>
        <w:tc>
          <w:tcPr>
            <w:tcW w:w="196" w:type="dxa"/>
            <w:tcBorders>
              <w:top w:val="nil"/>
              <w:left w:val="nil"/>
              <w:bottom w:val="nil"/>
              <w:right w:val="nil"/>
            </w:tcBorders>
            <w:shd w:val="clear" w:color="auto" w:fill="FFFF00"/>
          </w:tcPr>
          <w:p w:rsidR="00ED536B" w:rsidRDefault="00ED536B" w:rsidP="004D5312">
            <w:pPr>
              <w:jc w:val="both"/>
            </w:pPr>
            <w:r>
              <w:rPr>
                <w:rFonts w:ascii="Calibri" w:eastAsia="Calibri" w:hAnsi="Calibri" w:cs="Calibri"/>
                <w:sz w:val="15"/>
              </w:rPr>
              <w:t>[7]</w:t>
            </w:r>
          </w:p>
        </w:tc>
        <w:tc>
          <w:tcPr>
            <w:tcW w:w="0" w:type="auto"/>
            <w:vMerge/>
            <w:tcBorders>
              <w:top w:val="nil"/>
              <w:left w:val="nil"/>
              <w:bottom w:val="nil"/>
              <w:right w:val="nil"/>
            </w:tcBorders>
          </w:tcPr>
          <w:p w:rsidR="00ED536B" w:rsidRDefault="00ED536B" w:rsidP="004D5312"/>
        </w:tc>
        <w:tc>
          <w:tcPr>
            <w:tcW w:w="196" w:type="dxa"/>
            <w:tcBorders>
              <w:top w:val="nil"/>
              <w:left w:val="nil"/>
              <w:bottom w:val="nil"/>
              <w:right w:val="nil"/>
            </w:tcBorders>
            <w:shd w:val="clear" w:color="auto" w:fill="FFFF00"/>
          </w:tcPr>
          <w:p w:rsidR="00ED536B" w:rsidRDefault="00ED536B" w:rsidP="004D5312">
            <w:pPr>
              <w:jc w:val="both"/>
            </w:pPr>
            <w:r>
              <w:rPr>
                <w:rFonts w:ascii="Calibri" w:eastAsia="Calibri" w:hAnsi="Calibri" w:cs="Calibri"/>
                <w:sz w:val="15"/>
              </w:rPr>
              <w:t>[8]</w:t>
            </w:r>
          </w:p>
        </w:tc>
        <w:tc>
          <w:tcPr>
            <w:tcW w:w="0" w:type="auto"/>
            <w:vMerge/>
            <w:tcBorders>
              <w:top w:val="nil"/>
              <w:left w:val="nil"/>
              <w:bottom w:val="nil"/>
              <w:right w:val="nil"/>
            </w:tcBorders>
          </w:tcPr>
          <w:p w:rsidR="00ED536B" w:rsidRDefault="00ED536B" w:rsidP="004D5312"/>
        </w:tc>
      </w:tr>
    </w:tbl>
    <w:p w:rsidR="00ED536B" w:rsidRPr="00AF60BF" w:rsidRDefault="00ED536B" w:rsidP="0027624C">
      <w:pPr>
        <w:spacing w:after="249"/>
        <w:ind w:left="-5" w:hanging="10"/>
        <w:rPr>
          <w:lang w:val="en-US"/>
        </w:rPr>
      </w:pPr>
      <w:r w:rsidRPr="00AF60BF">
        <w:rPr>
          <w:rFonts w:ascii="Calibri" w:eastAsia="Calibri" w:hAnsi="Calibri" w:cs="Calibri"/>
          <w:b/>
          <w:lang w:val="en-US"/>
        </w:rPr>
        <w:t>Контроль пациентов, закончивших лечение</w:t>
      </w:r>
    </w:p>
    <w:p w:rsidR="00ED536B" w:rsidRPr="00ED536B" w:rsidRDefault="00ED536B" w:rsidP="0027624C">
      <w:pPr>
        <w:spacing w:after="533" w:line="262" w:lineRule="auto"/>
        <w:ind w:left="-5" w:right="24" w:hanging="10"/>
      </w:pPr>
      <w:r w:rsidRPr="00ED536B">
        <w:rPr>
          <w:rFonts w:ascii="Calibri" w:eastAsia="Calibri" w:hAnsi="Calibri" w:cs="Calibri"/>
        </w:rPr>
        <w:t xml:space="preserve">У пациентов, не достигающих </w:t>
      </w:r>
      <w:r w:rsidRPr="00AF60BF">
        <w:rPr>
          <w:rFonts w:ascii="Calibri" w:eastAsia="Calibri" w:hAnsi="Calibri" w:cs="Calibri"/>
          <w:lang w:val="en-US"/>
        </w:rPr>
        <w:t>SVR</w:t>
      </w:r>
      <w:r w:rsidRPr="00ED536B">
        <w:rPr>
          <w:rFonts w:ascii="Calibri" w:eastAsia="Calibri" w:hAnsi="Calibri" w:cs="Calibri"/>
        </w:rPr>
        <w:t xml:space="preserve"> из-за отказа лечения очистить или поддержать клиренс заражения </w:t>
      </w:r>
      <w:r w:rsidRPr="00AF60BF">
        <w:rPr>
          <w:rFonts w:ascii="Calibri" w:eastAsia="Calibri" w:hAnsi="Calibri" w:cs="Calibri"/>
          <w:lang w:val="en-US"/>
        </w:rPr>
        <w:t>HCV</w:t>
      </w:r>
      <w:r w:rsidRPr="00ED536B">
        <w:rPr>
          <w:rFonts w:ascii="Calibri" w:eastAsia="Calibri" w:hAnsi="Calibri" w:cs="Calibri"/>
        </w:rPr>
        <w:t xml:space="preserve"> рецидивом после лечения завершение, есть продолжающаяся инфекция </w:t>
      </w:r>
      <w:r w:rsidRPr="00AF60BF">
        <w:rPr>
          <w:rFonts w:ascii="Calibri" w:eastAsia="Calibri" w:hAnsi="Calibri" w:cs="Calibri"/>
          <w:lang w:val="en-US"/>
        </w:rPr>
        <w:t>HCV</w:t>
      </w:r>
      <w:r w:rsidRPr="00ED536B">
        <w:rPr>
          <w:rFonts w:ascii="Calibri" w:eastAsia="Calibri" w:hAnsi="Calibri" w:cs="Calibri"/>
        </w:rPr>
        <w:t xml:space="preserve"> и возможность продолжительного повреждения печени и передачи. Таких пациентов нужно проверить для прогрессирующего заболевания печени и рассмотреть для перелечения, когда альтернативные методы лечения доступны. Пациенты, у которых есть невыявленная РНК </w:t>
      </w:r>
      <w:r w:rsidRPr="00AF60BF">
        <w:rPr>
          <w:rFonts w:ascii="Calibri" w:eastAsia="Calibri" w:hAnsi="Calibri" w:cs="Calibri"/>
          <w:lang w:val="en-US"/>
        </w:rPr>
        <w:t>HCV</w:t>
      </w:r>
      <w:r w:rsidRPr="00ED536B">
        <w:rPr>
          <w:rFonts w:ascii="Calibri" w:eastAsia="Calibri" w:hAnsi="Calibri" w:cs="Calibri"/>
        </w:rPr>
        <w:t xml:space="preserve"> в сыворотке, когда оценено чувствительной пробой полимеразной цепной реакции (</w:t>
      </w:r>
      <w:r w:rsidRPr="00AF60BF">
        <w:rPr>
          <w:rFonts w:ascii="Calibri" w:eastAsia="Calibri" w:hAnsi="Calibri" w:cs="Calibri"/>
          <w:lang w:val="en-US"/>
        </w:rPr>
        <w:t>PCR</w:t>
      </w:r>
      <w:r w:rsidRPr="00ED536B">
        <w:rPr>
          <w:rFonts w:ascii="Calibri" w:eastAsia="Calibri" w:hAnsi="Calibri" w:cs="Calibri"/>
        </w:rPr>
        <w:t xml:space="preserve">), спустя 12 или больше недель после завершения лечения, как считают, достигли </w:t>
      </w:r>
      <w:r w:rsidRPr="00AF60BF">
        <w:rPr>
          <w:rFonts w:ascii="Calibri" w:eastAsia="Calibri" w:hAnsi="Calibri" w:cs="Calibri"/>
          <w:lang w:val="en-US"/>
        </w:rPr>
        <w:t>SVR</w:t>
      </w:r>
      <w:r w:rsidRPr="00ED536B">
        <w:rPr>
          <w:rFonts w:ascii="Calibri" w:eastAsia="Calibri" w:hAnsi="Calibri" w:cs="Calibri"/>
        </w:rPr>
        <w:t xml:space="preserve">. В этих пациентах, </w:t>
      </w:r>
      <w:r w:rsidRPr="00AF60BF">
        <w:rPr>
          <w:rFonts w:ascii="Calibri" w:eastAsia="Calibri" w:hAnsi="Calibri" w:cs="Calibri"/>
          <w:lang w:val="en-US"/>
        </w:rPr>
        <w:t>HCV</w:t>
      </w:r>
      <w:r w:rsidRPr="00ED536B">
        <w:rPr>
          <w:rFonts w:ascii="Calibri" w:eastAsia="Calibri" w:hAnsi="Calibri" w:cs="Calibri"/>
        </w:rPr>
        <w:t xml:space="preserve">-связанных остановках повреждения печени, несмотря на то, что пациенты остаются опасными для </w:t>
      </w:r>
      <w:r w:rsidRPr="00AF60BF">
        <w:rPr>
          <w:rFonts w:ascii="Calibri" w:eastAsia="Calibri" w:hAnsi="Calibri" w:cs="Calibri"/>
          <w:lang w:val="en-US"/>
        </w:rPr>
        <w:t>non</w:t>
      </w:r>
      <w:r w:rsidRPr="00ED536B">
        <w:rPr>
          <w:rFonts w:ascii="Calibri" w:eastAsia="Calibri" w:hAnsi="Calibri" w:cs="Calibri"/>
        </w:rPr>
        <w:t>–</w:t>
      </w:r>
      <w:r w:rsidRPr="00AF60BF">
        <w:rPr>
          <w:rFonts w:ascii="Calibri" w:eastAsia="Calibri" w:hAnsi="Calibri" w:cs="Calibri"/>
          <w:lang w:val="en-US"/>
        </w:rPr>
        <w:t>HCV</w:t>
      </w:r>
      <w:r w:rsidRPr="00ED536B">
        <w:rPr>
          <w:rFonts w:ascii="Calibri" w:eastAsia="Calibri" w:hAnsi="Calibri" w:cs="Calibri"/>
        </w:rPr>
        <w:t>-</w:t>
      </w:r>
      <w:r w:rsidRPr="00AF60BF">
        <w:rPr>
          <w:rFonts w:ascii="Calibri" w:eastAsia="Calibri" w:hAnsi="Calibri" w:cs="Calibri"/>
          <w:lang w:val="en-US"/>
        </w:rPr>
        <w:t>related</w:t>
      </w:r>
      <w:r w:rsidRPr="00ED536B">
        <w:rPr>
          <w:rFonts w:ascii="Calibri" w:eastAsia="Calibri" w:hAnsi="Calibri" w:cs="Calibri"/>
        </w:rPr>
        <w:t xml:space="preserve"> заболевания печени, такого как болезнь ожирения печени или алкогольная болезнь печени. Пациенты с циррозом остаются опасными для заболевания гепатоцеллюлярным раком.</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45" w:line="260" w:lineRule="auto"/>
        <w:ind w:left="260" w:right="66" w:hanging="10"/>
      </w:pPr>
      <w:r w:rsidRPr="00ED536B">
        <w:rPr>
          <w:rFonts w:ascii="Calibri" w:eastAsia="Calibri" w:hAnsi="Calibri" w:cs="Calibri"/>
          <w:b/>
          <w:i/>
          <w:color w:val="145314"/>
          <w:sz w:val="24"/>
        </w:rPr>
        <w:t>Рекомендуемый контроль для пациентов, в которых лечение не достигло длительной вирусологической реакции.</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03" w:line="261" w:lineRule="auto"/>
        <w:ind w:left="260" w:right="66" w:hanging="10"/>
      </w:pPr>
      <w:r w:rsidRPr="00ED536B">
        <w:rPr>
          <w:rFonts w:ascii="Calibri" w:eastAsia="Calibri" w:hAnsi="Calibri" w:cs="Calibri"/>
          <w:b/>
          <w:color w:val="3077B8"/>
          <w:sz w:val="26"/>
        </w:rPr>
        <w:t>Оценка развития болезни каждые 6 месяцев к 12 месяцам с печеночной группой функции, полным анализом крови (</w:t>
      </w:r>
      <w:r w:rsidRPr="00AF60BF">
        <w:rPr>
          <w:rFonts w:ascii="Calibri" w:eastAsia="Calibri" w:hAnsi="Calibri" w:cs="Calibri"/>
          <w:b/>
          <w:color w:val="3077B8"/>
          <w:sz w:val="26"/>
          <w:lang w:val="en-US"/>
        </w:rPr>
        <w:t>CBC</w:t>
      </w:r>
      <w:r w:rsidRPr="00ED536B">
        <w:rPr>
          <w:rFonts w:ascii="Calibri" w:eastAsia="Calibri" w:hAnsi="Calibri" w:cs="Calibri"/>
          <w:b/>
          <w:color w:val="3077B8"/>
          <w:sz w:val="26"/>
        </w:rPr>
        <w:t>) и международной нормализованной порцией (</w:t>
      </w:r>
      <w:r w:rsidRPr="00AF60BF">
        <w:rPr>
          <w:rFonts w:ascii="Calibri" w:eastAsia="Calibri" w:hAnsi="Calibri" w:cs="Calibri"/>
          <w:b/>
          <w:color w:val="3077B8"/>
          <w:sz w:val="26"/>
          <w:lang w:val="en-US"/>
        </w:rPr>
        <w:t>INR</w:t>
      </w:r>
      <w:r w:rsidRPr="00ED536B">
        <w:rPr>
          <w:rFonts w:ascii="Calibri" w:eastAsia="Calibri" w:hAnsi="Calibri" w:cs="Calibri"/>
          <w:b/>
          <w:color w:val="3077B8"/>
          <w:sz w:val="26"/>
        </w:rPr>
        <w:t>) рекомендуется.</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94"/>
        <w:ind w:left="260" w:right="66"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03" w:line="261" w:lineRule="auto"/>
        <w:ind w:left="260" w:right="66" w:hanging="10"/>
      </w:pPr>
      <w:r w:rsidRPr="00ED536B">
        <w:rPr>
          <w:rFonts w:ascii="Calibri" w:eastAsia="Calibri" w:hAnsi="Calibri" w:cs="Calibri"/>
          <w:b/>
          <w:color w:val="3077B8"/>
          <w:sz w:val="26"/>
        </w:rPr>
        <w:t>Наблюдение для гепатоцеллюлярного рака с ультразвуком, проверяющим каждые 6</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03" w:line="261" w:lineRule="auto"/>
        <w:ind w:left="260" w:right="66" w:hanging="10"/>
      </w:pPr>
      <w:r w:rsidRPr="00ED536B">
        <w:rPr>
          <w:rFonts w:ascii="Calibri" w:eastAsia="Calibri" w:hAnsi="Calibri" w:cs="Calibri"/>
          <w:b/>
          <w:color w:val="3077B8"/>
          <w:sz w:val="26"/>
        </w:rPr>
        <w:t xml:space="preserve">месяцы рекомендуются для пациентов с прогрессирующим фиброзом (т.е., стадия </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 xml:space="preserve">3 или </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 xml:space="preserve">4 </w:t>
      </w:r>
      <w:r w:rsidRPr="00AF60BF">
        <w:rPr>
          <w:rFonts w:ascii="Calibri" w:eastAsia="Calibri" w:hAnsi="Calibri" w:cs="Calibri"/>
          <w:b/>
          <w:color w:val="3077B8"/>
          <w:sz w:val="26"/>
          <w:lang w:val="en-US"/>
        </w:rPr>
        <w:t>Metavir</w:t>
      </w:r>
      <w:r w:rsidRPr="00ED536B">
        <w:rPr>
          <w:rFonts w:ascii="Calibri" w:eastAsia="Calibri" w:hAnsi="Calibri" w:cs="Calibri"/>
          <w:b/>
          <w:color w:val="3077B8"/>
          <w:sz w:val="26"/>
        </w:rPr>
        <w:t>).</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02" w:line="261" w:lineRule="auto"/>
        <w:ind w:left="260" w:hanging="10"/>
      </w:pPr>
      <w:r w:rsidRPr="00ED536B">
        <w:rPr>
          <w:rFonts w:ascii="Calibri" w:eastAsia="Calibri" w:hAnsi="Calibri" w:cs="Calibri"/>
          <w:b/>
          <w:color w:val="3077B8"/>
          <w:sz w:val="26"/>
        </w:rPr>
        <w:t>Эндоскопическое наблюдение для желудочного варикоза рекомендуется, если цирроз присутствует.</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A</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87" w:line="261" w:lineRule="auto"/>
        <w:ind w:left="260" w:hanging="10"/>
      </w:pPr>
      <w:r w:rsidRPr="00ED536B">
        <w:rPr>
          <w:rFonts w:ascii="Calibri" w:eastAsia="Calibri" w:hAnsi="Calibri" w:cs="Calibri"/>
          <w:b/>
          <w:color w:val="3077B8"/>
          <w:sz w:val="26"/>
        </w:rPr>
        <w:t>Оценка для перелечения рекомендуется, поскольку эффективные альтернативные методы лечения становятся доступными.</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989"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145" w:line="260" w:lineRule="auto"/>
        <w:ind w:left="260" w:right="264" w:hanging="10"/>
      </w:pPr>
      <w:r w:rsidRPr="00ED536B">
        <w:rPr>
          <w:rFonts w:ascii="Calibri" w:eastAsia="Calibri" w:hAnsi="Calibri" w:cs="Calibri"/>
          <w:b/>
          <w:i/>
          <w:sz w:val="24"/>
        </w:rPr>
        <w:t>До следующего контроля обычно не рекомендуют или во время терапии.</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45" w:line="261" w:lineRule="auto"/>
        <w:ind w:left="260" w:right="264" w:hanging="10"/>
      </w:pPr>
      <w:r w:rsidRPr="00ED536B">
        <w:rPr>
          <w:rFonts w:ascii="Calibri" w:eastAsia="Calibri" w:hAnsi="Calibri" w:cs="Calibri"/>
          <w:b/>
          <w:color w:val="B20000"/>
          <w:sz w:val="26"/>
        </w:rPr>
        <w:t xml:space="preserve">Обычный контроль для </w:t>
      </w:r>
      <w:r w:rsidRPr="00AF60BF">
        <w:rPr>
          <w:rFonts w:ascii="Calibri" w:eastAsia="Calibri" w:hAnsi="Calibri" w:cs="Calibri"/>
          <w:b/>
          <w:color w:val="B20000"/>
          <w:sz w:val="26"/>
          <w:lang w:val="en-US"/>
        </w:rPr>
        <w:t>HCV</w:t>
      </w:r>
      <w:r w:rsidRPr="00ED536B">
        <w:rPr>
          <w:rFonts w:ascii="Calibri" w:eastAsia="Calibri" w:hAnsi="Calibri" w:cs="Calibri"/>
          <w:b/>
          <w:color w:val="B20000"/>
          <w:sz w:val="26"/>
        </w:rPr>
        <w:t xml:space="preserve"> связанные с устойчивостью к лекарству варианты во время терапии НЕ рекомендуется за 2 исключениями:</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0" w:line="269" w:lineRule="auto"/>
        <w:ind w:left="421" w:right="264" w:hanging="171"/>
      </w:pPr>
      <w:r w:rsidRPr="00ED536B">
        <w:rPr>
          <w:rFonts w:ascii="Segoe UI Symbol" w:eastAsia="Segoe UI Symbol" w:hAnsi="Segoe UI Symbol" w:cs="Segoe UI Symbol"/>
          <w:sz w:val="9"/>
        </w:rPr>
        <w:t>■</w:t>
      </w:r>
      <w:r w:rsidRPr="00ED536B">
        <w:rPr>
          <w:rFonts w:ascii="Segoe UI Symbol" w:eastAsia="Segoe UI Symbol" w:hAnsi="Segoe UI Symbol" w:cs="Segoe UI Symbol"/>
          <w:sz w:val="14"/>
          <w:vertAlign w:val="subscript"/>
        </w:rPr>
        <w:t xml:space="preserve"> </w:t>
      </w:r>
      <w:r w:rsidRPr="00ED536B">
        <w:rPr>
          <w:rFonts w:ascii="Calibri" w:eastAsia="Calibri" w:hAnsi="Calibri" w:cs="Calibri"/>
        </w:rPr>
        <w:t xml:space="preserve">Для пациентов с генотипом </w:t>
      </w:r>
      <w:r w:rsidRPr="00AF60BF">
        <w:rPr>
          <w:rFonts w:ascii="Calibri" w:eastAsia="Calibri" w:hAnsi="Calibri" w:cs="Calibri"/>
          <w:lang w:val="en-US"/>
        </w:rPr>
        <w:t>HCV</w:t>
      </w:r>
      <w:r w:rsidRPr="00ED536B">
        <w:rPr>
          <w:rFonts w:ascii="Calibri" w:eastAsia="Calibri" w:hAnsi="Calibri" w:cs="Calibri"/>
        </w:rPr>
        <w:t xml:space="preserve"> 1 инфекция, предшествующее лечение которой с неструктурным белком 5 А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режим содержащего ингибитор потерпело неудачу и кто имеет цирроз или требует срочного перелечения, тестирование предварительной обработки на связанные с устойчивостью варианты, присуждающие сниженную восприимчивость к протеазным ингибиторам </w:t>
      </w:r>
      <w:r w:rsidRPr="00AF60BF">
        <w:rPr>
          <w:rFonts w:ascii="Calibri" w:eastAsia="Calibri" w:hAnsi="Calibri" w:cs="Calibri"/>
          <w:lang w:val="en-US"/>
        </w:rPr>
        <w:t>NS</w:t>
      </w:r>
      <w:r w:rsidRPr="00ED536B">
        <w:rPr>
          <w:rFonts w:ascii="Calibri" w:eastAsia="Calibri" w:hAnsi="Calibri" w:cs="Calibri"/>
        </w:rPr>
        <w:t xml:space="preserve">3 и к ингибиторам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рекомендуется (для получения дальнейшей информации, посмотрите </w:t>
      </w:r>
      <w:hyperlink r:id="rId19" w:anchor="gt1-ns5a">
        <w:r w:rsidRPr="00ED536B">
          <w:rPr>
            <w:rFonts w:ascii="Calibri" w:eastAsia="Calibri" w:hAnsi="Calibri" w:cs="Calibri"/>
            <w:color w:val="0000FF"/>
            <w:u w:val="single" w:color="0000FF"/>
          </w:rPr>
          <w:t>Перелечение</w:t>
        </w:r>
      </w:hyperlink>
      <w:r w:rsidRPr="00ED536B">
        <w:rPr>
          <w:rFonts w:ascii="Calibri" w:eastAsia="Calibri" w:hAnsi="Calibri" w:cs="Calibri"/>
        </w:rPr>
        <w:t xml:space="preserve"> </w:t>
      </w:r>
      <w:r w:rsidRPr="00ED536B">
        <w:rPr>
          <w:rFonts w:ascii="Calibri" w:eastAsia="Calibri" w:hAnsi="Calibri" w:cs="Calibri"/>
          <w:sz w:val="15"/>
        </w:rPr>
        <w:t xml:space="preserve">[9] </w:t>
      </w:r>
      <w:r w:rsidRPr="00ED536B">
        <w:rPr>
          <w:rFonts w:ascii="Calibri" w:eastAsia="Calibri" w:hAnsi="Calibri" w:cs="Calibri"/>
        </w:rPr>
        <w:t>секция),</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176" w:line="269" w:lineRule="auto"/>
        <w:ind w:left="421" w:right="264" w:hanging="171"/>
      </w:pPr>
      <w:r w:rsidRPr="00ED536B">
        <w:rPr>
          <w:rFonts w:ascii="Segoe UI Symbol" w:eastAsia="Segoe UI Symbol" w:hAnsi="Segoe UI Symbol" w:cs="Segoe UI Symbol"/>
          <w:sz w:val="9"/>
        </w:rPr>
        <w:t>■</w:t>
      </w:r>
      <w:r w:rsidRPr="00ED536B">
        <w:rPr>
          <w:rFonts w:ascii="Segoe UI Symbol" w:eastAsia="Segoe UI Symbol" w:hAnsi="Segoe UI Symbol" w:cs="Segoe UI Symbol"/>
          <w:sz w:val="14"/>
          <w:vertAlign w:val="subscript"/>
        </w:rPr>
        <w:t xml:space="preserve"> </w:t>
      </w:r>
      <w:r w:rsidRPr="00ED536B">
        <w:rPr>
          <w:rFonts w:ascii="Calibri" w:eastAsia="Calibri" w:hAnsi="Calibri" w:cs="Calibri"/>
        </w:rPr>
        <w:t xml:space="preserve">Для пациентов с генотипом </w:t>
      </w:r>
      <w:r w:rsidRPr="00AF60BF">
        <w:rPr>
          <w:rFonts w:ascii="Calibri" w:eastAsia="Calibri" w:hAnsi="Calibri" w:cs="Calibri"/>
          <w:lang w:val="en-US"/>
        </w:rPr>
        <w:t>HCV</w:t>
      </w:r>
      <w:r w:rsidRPr="00ED536B">
        <w:rPr>
          <w:rFonts w:ascii="Calibri" w:eastAsia="Calibri" w:hAnsi="Calibri" w:cs="Calibri"/>
        </w:rPr>
        <w:t xml:space="preserve"> 1</w:t>
      </w:r>
      <w:r w:rsidRPr="00AF60BF">
        <w:rPr>
          <w:rFonts w:ascii="Calibri" w:eastAsia="Calibri" w:hAnsi="Calibri" w:cs="Calibri"/>
          <w:lang w:val="en-US"/>
        </w:rPr>
        <w:t>a</w:t>
      </w:r>
      <w:r w:rsidRPr="00ED536B">
        <w:rPr>
          <w:rFonts w:ascii="Calibri" w:eastAsia="Calibri" w:hAnsi="Calibri" w:cs="Calibri"/>
        </w:rPr>
        <w:t xml:space="preserve"> заражение циррозом, кто наивное лечение или чье предшествующее лечение со ШТИФТОМ-</w:t>
      </w:r>
      <w:r w:rsidRPr="00AF60BF">
        <w:rPr>
          <w:rFonts w:ascii="Calibri" w:eastAsia="Calibri" w:hAnsi="Calibri" w:cs="Calibri"/>
          <w:lang w:val="en-US"/>
        </w:rPr>
        <w:t>IFN</w:t>
      </w:r>
      <w:r w:rsidRPr="00ED536B">
        <w:rPr>
          <w:rFonts w:ascii="Calibri" w:eastAsia="Calibri" w:hAnsi="Calibri" w:cs="Calibri"/>
        </w:rPr>
        <w:t xml:space="preserve"> и подведенным </w:t>
      </w:r>
      <w:r w:rsidRPr="00AF60BF">
        <w:rPr>
          <w:rFonts w:ascii="Calibri" w:eastAsia="Calibri" w:hAnsi="Calibri" w:cs="Calibri"/>
          <w:lang w:val="en-US"/>
        </w:rPr>
        <w:t>RBV</w:t>
      </w:r>
      <w:r w:rsidRPr="00ED536B">
        <w:rPr>
          <w:rFonts w:ascii="Calibri" w:eastAsia="Calibri" w:hAnsi="Calibri" w:cs="Calibri"/>
        </w:rPr>
        <w:t xml:space="preserve"> и кого рассматривают для лечения с </w:t>
      </w:r>
      <w:r w:rsidRPr="00AF60BF">
        <w:rPr>
          <w:rFonts w:ascii="Calibri" w:eastAsia="Calibri" w:hAnsi="Calibri" w:cs="Calibri"/>
          <w:lang w:val="en-US"/>
        </w:rPr>
        <w:t>simeprevir</w:t>
      </w:r>
      <w:r w:rsidRPr="00ED536B">
        <w:rPr>
          <w:rFonts w:ascii="Calibri" w:eastAsia="Calibri" w:hAnsi="Calibri" w:cs="Calibri"/>
        </w:rPr>
        <w:t xml:space="preserve"> и </w:t>
      </w:r>
      <w:r w:rsidRPr="00AF60BF">
        <w:rPr>
          <w:rFonts w:ascii="Calibri" w:eastAsia="Calibri" w:hAnsi="Calibri" w:cs="Calibri"/>
          <w:lang w:val="en-US"/>
        </w:rPr>
        <w:t>sofosbuvir</w:t>
      </w:r>
      <w:r w:rsidRPr="00ED536B">
        <w:rPr>
          <w:rFonts w:ascii="Calibri" w:eastAsia="Calibri" w:hAnsi="Calibri" w:cs="Calibri"/>
        </w:rPr>
        <w:t xml:space="preserve">, тестированием предварительной обработки на вариант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w:t>
      </w:r>
      <w:r w:rsidRPr="00AF60BF">
        <w:rPr>
          <w:rFonts w:ascii="Calibri" w:eastAsia="Calibri" w:hAnsi="Calibri" w:cs="Calibri"/>
          <w:lang w:val="en-US"/>
        </w:rPr>
        <w:t>NS</w:t>
      </w:r>
      <w:r w:rsidRPr="00ED536B">
        <w:rPr>
          <w:rFonts w:ascii="Calibri" w:eastAsia="Calibri" w:hAnsi="Calibri" w:cs="Calibri"/>
        </w:rPr>
        <w:t xml:space="preserve">3, рекомендуется (для получения дальнейшей информации, посмотрите </w:t>
      </w:r>
      <w:hyperlink r:id="rId20" w:anchor="gt1-cirrhosis">
        <w:r w:rsidRPr="00ED536B">
          <w:rPr>
            <w:rFonts w:ascii="Calibri" w:eastAsia="Calibri" w:hAnsi="Calibri" w:cs="Calibri"/>
            <w:color w:val="0000FF"/>
            <w:u w:val="single" w:color="0000FF"/>
          </w:rPr>
          <w:t>Начальное Лечение</w:t>
        </w:r>
      </w:hyperlink>
      <w:r w:rsidRPr="00ED536B">
        <w:rPr>
          <w:rFonts w:ascii="Calibri" w:eastAsia="Calibri" w:hAnsi="Calibri" w:cs="Calibri"/>
        </w:rPr>
        <w:t xml:space="preserve"> </w:t>
      </w:r>
      <w:r w:rsidRPr="00ED536B">
        <w:rPr>
          <w:rFonts w:ascii="Calibri" w:eastAsia="Calibri" w:hAnsi="Calibri" w:cs="Calibri"/>
          <w:sz w:val="15"/>
        </w:rPr>
        <w:t>[10]</w:t>
      </w:r>
      <w:r w:rsidRPr="00ED536B">
        <w:rPr>
          <w:rFonts w:ascii="Calibri" w:eastAsia="Calibri" w:hAnsi="Calibri" w:cs="Calibri"/>
        </w:rPr>
        <w:t xml:space="preserve"> или </w:t>
      </w:r>
      <w:hyperlink r:id="rId21" w:anchor="gt1-cirrhosis">
        <w:r w:rsidRPr="00ED536B">
          <w:rPr>
            <w:rFonts w:ascii="Calibri" w:eastAsia="Calibri" w:hAnsi="Calibri" w:cs="Calibri"/>
            <w:color w:val="0000FF"/>
            <w:u w:val="single" w:color="0000FF"/>
          </w:rPr>
          <w:t>Перелечение</w:t>
        </w:r>
      </w:hyperlink>
      <w:r w:rsidRPr="00ED536B">
        <w:rPr>
          <w:rFonts w:ascii="Calibri" w:eastAsia="Calibri" w:hAnsi="Calibri" w:cs="Calibri"/>
        </w:rPr>
        <w:t xml:space="preserve"> </w:t>
      </w:r>
      <w:r w:rsidRPr="00ED536B">
        <w:rPr>
          <w:rFonts w:ascii="Calibri" w:eastAsia="Calibri" w:hAnsi="Calibri" w:cs="Calibri"/>
          <w:sz w:val="15"/>
        </w:rPr>
        <w:t>[11]</w:t>
      </w:r>
      <w:r w:rsidRPr="00ED536B">
        <w:rPr>
          <w:rFonts w:ascii="Calibri" w:eastAsia="Calibri" w:hAnsi="Calibri" w:cs="Calibri"/>
        </w:rPr>
        <w:t xml:space="preserve"> секции),</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699" w:line="269" w:lineRule="auto"/>
        <w:ind w:left="250" w:right="264"/>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IIb</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spacing w:after="247" w:line="262" w:lineRule="auto"/>
        <w:ind w:left="-5" w:right="24" w:hanging="10"/>
      </w:pPr>
      <w:r w:rsidRPr="00ED536B">
        <w:rPr>
          <w:rFonts w:ascii="Calibri" w:eastAsia="Calibri" w:hAnsi="Calibri" w:cs="Calibri"/>
        </w:rPr>
        <w:t xml:space="preserve">Пациенты, в которых лечение не достигло </w:t>
      </w:r>
      <w:r w:rsidRPr="00AF60BF">
        <w:rPr>
          <w:rFonts w:ascii="Calibri" w:eastAsia="Calibri" w:hAnsi="Calibri" w:cs="Calibri"/>
          <w:lang w:val="en-US"/>
        </w:rPr>
        <w:t>SVR</w:t>
      </w:r>
      <w:r w:rsidRPr="00ED536B">
        <w:rPr>
          <w:rFonts w:ascii="Calibri" w:eastAsia="Calibri" w:hAnsi="Calibri" w:cs="Calibri"/>
        </w:rPr>
        <w:t>, остаются опасными для продолжающегося повреждения печени и развития фиброза печени. (</w:t>
      </w:r>
      <w:hyperlink r:id="rId22" w:anchor="dienstag2011">
        <w:r w:rsidRPr="00AF60BF">
          <w:rPr>
            <w:rFonts w:ascii="Calibri" w:eastAsia="Calibri" w:hAnsi="Calibri" w:cs="Calibri"/>
            <w:color w:val="0000FF"/>
            <w:u w:val="single" w:color="0000FF"/>
            <w:lang w:val="en-US"/>
          </w:rPr>
          <w:t>Dienstag</w:t>
        </w:r>
        <w:r w:rsidRPr="00ED536B">
          <w:rPr>
            <w:rFonts w:ascii="Calibri" w:eastAsia="Calibri" w:hAnsi="Calibri" w:cs="Calibri"/>
            <w:color w:val="0000FF"/>
            <w:u w:val="single" w:color="0000FF"/>
          </w:rPr>
          <w:t>, 2011 [12]</w:t>
        </w:r>
      </w:hyperlink>
      <w:r w:rsidRPr="00ED536B">
        <w:rPr>
          <w:rFonts w:ascii="Calibri" w:eastAsia="Calibri" w:hAnsi="Calibri" w:cs="Calibri"/>
        </w:rPr>
        <w:t>), Таким образом пациенты, в которых терпит неудачу лечение, должны быть проверены для признаков и симптомов цирроза. В настоящее время нет никакого неопровержимого доказательства, чтобы предположить, что неудача результатов противовирусного лечения при более тяжелом повреждении печени или более быстро прогрессирующем заболевании печени, чем произошла бы, если бы пациент не прошел лечение.</w:t>
      </w:r>
    </w:p>
    <w:p w:rsidR="00ED536B" w:rsidRPr="00ED536B" w:rsidRDefault="00ED536B" w:rsidP="0027624C">
      <w:pPr>
        <w:spacing w:after="247" w:line="262" w:lineRule="auto"/>
        <w:ind w:left="-5" w:right="24" w:hanging="10"/>
      </w:pPr>
      <w:r w:rsidRPr="00ED536B">
        <w:rPr>
          <w:rFonts w:ascii="Calibri" w:eastAsia="Calibri" w:hAnsi="Calibri" w:cs="Calibri"/>
        </w:rPr>
        <w:t xml:space="preserve">Небольшое количество пациентов, в которых начальное подведенное противовирусное лечение достигли </w:t>
      </w:r>
      <w:r w:rsidRPr="00AF60BF">
        <w:rPr>
          <w:rFonts w:ascii="Calibri" w:eastAsia="Calibri" w:hAnsi="Calibri" w:cs="Calibri"/>
          <w:lang w:val="en-US"/>
        </w:rPr>
        <w:t>SVR</w:t>
      </w:r>
      <w:r w:rsidRPr="00ED536B">
        <w:rPr>
          <w:rFonts w:ascii="Calibri" w:eastAsia="Calibri" w:hAnsi="Calibri" w:cs="Calibri"/>
        </w:rPr>
        <w:t>, когда отнесено те же препараты на более длительное время, или когда отнесся с альтернативными антивирусными режимами. (</w:t>
      </w:r>
      <w:hyperlink r:id="rId23" w:anchor="lawitz2014a">
        <w:r w:rsidRPr="00AF60BF">
          <w:rPr>
            <w:rFonts w:ascii="Calibri" w:eastAsia="Calibri" w:hAnsi="Calibri" w:cs="Calibri"/>
            <w:color w:val="0000FF"/>
            <w:u w:val="single" w:color="0000FF"/>
            <w:lang w:val="en-US"/>
          </w:rPr>
          <w:t>Lawitz</w:t>
        </w:r>
        <w:r w:rsidRPr="00ED536B">
          <w:rPr>
            <w:rFonts w:ascii="Calibri" w:eastAsia="Calibri" w:hAnsi="Calibri" w:cs="Calibri"/>
            <w:color w:val="0000FF"/>
            <w:u w:val="single" w:color="0000FF"/>
          </w:rPr>
          <w:t xml:space="preserve">, </w:t>
        </w:r>
      </w:hyperlink>
      <w:hyperlink r:id="rId24" w:anchor="lawitz2014a">
        <w:r w:rsidRPr="00ED536B">
          <w:rPr>
            <w:rFonts w:ascii="Calibri" w:eastAsia="Calibri" w:hAnsi="Calibri" w:cs="Calibri"/>
            <w:color w:val="0000FF"/>
            <w:u w:val="single" w:color="0000FF"/>
          </w:rPr>
          <w:t>2014</w:t>
        </w:r>
        <w:r w:rsidRPr="00AF60BF">
          <w:rPr>
            <w:rFonts w:ascii="Calibri" w:eastAsia="Calibri" w:hAnsi="Calibri" w:cs="Calibri"/>
            <w:color w:val="0000FF"/>
            <w:u w:val="single" w:color="0000FF"/>
            <w:lang w:val="en-US"/>
          </w:rPr>
          <w:t>a</w:t>
        </w:r>
      </w:hyperlink>
      <w:r w:rsidRPr="00ED536B">
        <w:rPr>
          <w:rFonts w:ascii="Calibri" w:eastAsia="Calibri" w:hAnsi="Calibri" w:cs="Calibri"/>
        </w:rPr>
        <w:t xml:space="preserve"> </w:t>
      </w:r>
      <w:r w:rsidRPr="00ED536B">
        <w:rPr>
          <w:rFonts w:ascii="Calibri" w:eastAsia="Calibri" w:hAnsi="Calibri" w:cs="Calibri"/>
          <w:sz w:val="15"/>
        </w:rPr>
        <w:t>[13]</w:t>
      </w:r>
      <w:r w:rsidRPr="00ED536B">
        <w:rPr>
          <w:rFonts w:ascii="Calibri" w:eastAsia="Calibri" w:hAnsi="Calibri" w:cs="Calibri"/>
        </w:rPr>
        <w:t xml:space="preserve">), Таким образом пациентов, в которых лечение не достигло </w:t>
      </w:r>
      <w:r w:rsidRPr="00AF60BF">
        <w:rPr>
          <w:rFonts w:ascii="Calibri" w:eastAsia="Calibri" w:hAnsi="Calibri" w:cs="Calibri"/>
          <w:lang w:val="en-US"/>
        </w:rPr>
        <w:t>SVR</w:t>
      </w:r>
      <w:r w:rsidRPr="00ED536B">
        <w:rPr>
          <w:rFonts w:ascii="Calibri" w:eastAsia="Calibri" w:hAnsi="Calibri" w:cs="Calibri"/>
        </w:rPr>
        <w:t xml:space="preserve">, нужно рассмотреть для лечения, когда альтернативные антивирусные режимы доступны. Совет от врача, испытанного в лечении </w:t>
      </w:r>
      <w:r w:rsidRPr="00AF60BF">
        <w:rPr>
          <w:rFonts w:ascii="Calibri" w:eastAsia="Calibri" w:hAnsi="Calibri" w:cs="Calibri"/>
          <w:lang w:val="en-US"/>
        </w:rPr>
        <w:t>HCV</w:t>
      </w:r>
      <w:r w:rsidRPr="00ED536B">
        <w:rPr>
          <w:rFonts w:ascii="Calibri" w:eastAsia="Calibri" w:hAnsi="Calibri" w:cs="Calibri"/>
        </w:rPr>
        <w:t>, может быть полезным при рассмотрении перелечения после антивирусной неудачи терапии.</w:t>
      </w:r>
    </w:p>
    <w:p w:rsidR="00ED536B" w:rsidRPr="00ED536B" w:rsidRDefault="00ED536B" w:rsidP="0027624C">
      <w:pPr>
        <w:spacing w:after="247" w:line="262" w:lineRule="auto"/>
        <w:jc w:val="both"/>
      </w:pPr>
      <w:r w:rsidRPr="00ED536B">
        <w:rPr>
          <w:rFonts w:ascii="Calibri" w:eastAsia="Calibri" w:hAnsi="Calibri" w:cs="Calibri"/>
        </w:rPr>
        <w:t xml:space="preserve">Пациенты, в которых антивирусная терапия не достигла </w:t>
      </w:r>
      <w:r w:rsidRPr="00AF60BF">
        <w:rPr>
          <w:rFonts w:ascii="Calibri" w:eastAsia="Calibri" w:hAnsi="Calibri" w:cs="Calibri"/>
          <w:lang w:val="en-US"/>
        </w:rPr>
        <w:t>SVR</w:t>
      </w:r>
      <w:r w:rsidRPr="00ED536B">
        <w:rPr>
          <w:rFonts w:ascii="Calibri" w:eastAsia="Calibri" w:hAnsi="Calibri" w:cs="Calibri"/>
        </w:rPr>
        <w:t>, могут предоставить кров вирусам, которые устойчивы к 1 или больше противовирусных средств во время вирусологического «прорыва». (</w:t>
      </w:r>
      <w:hyperlink r:id="rId25" w:anchor="lawitz2014a">
        <w:r w:rsidRPr="00AF60BF">
          <w:rPr>
            <w:rFonts w:ascii="Calibri" w:eastAsia="Calibri" w:hAnsi="Calibri" w:cs="Calibri"/>
            <w:color w:val="0000FF"/>
            <w:u w:val="single" w:color="0000FF"/>
            <w:lang w:val="en-US"/>
          </w:rPr>
          <w:t>Lawitzs</w:t>
        </w:r>
        <w:r w:rsidRPr="00ED536B">
          <w:rPr>
            <w:rFonts w:ascii="Calibri" w:eastAsia="Calibri" w:hAnsi="Calibri" w:cs="Calibri"/>
            <w:color w:val="0000FF"/>
            <w:u w:val="single" w:color="0000FF"/>
          </w:rPr>
          <w:t>, 2014</w:t>
        </w:r>
        <w:r w:rsidRPr="00AF60BF">
          <w:rPr>
            <w:rFonts w:ascii="Calibri" w:eastAsia="Calibri" w:hAnsi="Calibri" w:cs="Calibri"/>
            <w:color w:val="0000FF"/>
            <w:u w:val="single" w:color="0000FF"/>
            <w:lang w:val="en-US"/>
          </w:rPr>
          <w:t>a</w:t>
        </w:r>
      </w:hyperlink>
      <w:r w:rsidRPr="00ED536B">
        <w:rPr>
          <w:rFonts w:ascii="Calibri" w:eastAsia="Calibri" w:hAnsi="Calibri" w:cs="Calibri"/>
        </w:rPr>
        <w:t xml:space="preserve"> </w:t>
      </w:r>
      <w:r w:rsidRPr="00ED536B">
        <w:rPr>
          <w:rFonts w:ascii="Calibri" w:eastAsia="Calibri" w:hAnsi="Calibri" w:cs="Calibri"/>
          <w:sz w:val="15"/>
        </w:rPr>
        <w:t>[13]</w:t>
      </w:r>
      <w:r w:rsidRPr="00ED536B">
        <w:rPr>
          <w:rFonts w:ascii="Calibri" w:eastAsia="Calibri" w:hAnsi="Calibri" w:cs="Calibri"/>
        </w:rPr>
        <w:t>); (</w:t>
      </w:r>
      <w:hyperlink r:id="rId26" w:anchor="schneider2014">
        <w:r w:rsidRPr="00ED536B">
          <w:rPr>
            <w:rFonts w:ascii="Calibri" w:eastAsia="Calibri" w:hAnsi="Calibri" w:cs="Calibri"/>
            <w:color w:val="0000FF"/>
            <w:u w:val="single" w:color="0000FF"/>
          </w:rPr>
          <w:t>Шнайдер, 2014 [14]</w:t>
        </w:r>
      </w:hyperlink>
      <w:r w:rsidRPr="00ED536B">
        <w:rPr>
          <w:rFonts w:ascii="Calibri" w:eastAsia="Calibri" w:hAnsi="Calibri" w:cs="Calibri"/>
        </w:rPr>
        <w:t>) Однако нет никаких доказательств до настоящего времени, что наличие связанных с устойчивостью вариантов (</w:t>
      </w:r>
      <w:r w:rsidRPr="00AF60BF">
        <w:rPr>
          <w:rFonts w:ascii="Calibri" w:eastAsia="Calibri" w:hAnsi="Calibri" w:cs="Calibri"/>
          <w:lang w:val="en-US"/>
        </w:rPr>
        <w:t>RAVs</w:t>
      </w:r>
      <w:r w:rsidRPr="00ED536B">
        <w:rPr>
          <w:rFonts w:ascii="Calibri" w:eastAsia="Calibri" w:hAnsi="Calibri" w:cs="Calibri"/>
        </w:rPr>
        <w:t xml:space="preserve">), результаты при более прогрессирующем повреждении печени, чем произошли бы, если у пациента не было устойчивых вирусов. Наличие начального </w:t>
      </w:r>
      <w:r w:rsidRPr="00AF60BF">
        <w:rPr>
          <w:rFonts w:ascii="Calibri" w:eastAsia="Calibri" w:hAnsi="Calibri" w:cs="Calibri"/>
          <w:lang w:val="en-US"/>
        </w:rPr>
        <w:t>RAVs</w:t>
      </w:r>
      <w:r w:rsidRPr="00ED536B">
        <w:rPr>
          <w:rFonts w:ascii="Calibri" w:eastAsia="Calibri" w:hAnsi="Calibri" w:cs="Calibri"/>
        </w:rPr>
        <w:t xml:space="preserve"> в наивных лечением людях не устраняет достигать </w:t>
      </w:r>
      <w:r w:rsidRPr="00AF60BF">
        <w:rPr>
          <w:rFonts w:ascii="Calibri" w:eastAsia="Calibri" w:hAnsi="Calibri" w:cs="Calibri"/>
          <w:lang w:val="en-US"/>
        </w:rPr>
        <w:t>SVR</w:t>
      </w:r>
      <w:r w:rsidRPr="00ED536B">
        <w:rPr>
          <w:rFonts w:ascii="Calibri" w:eastAsia="Calibri" w:hAnsi="Calibri" w:cs="Calibri"/>
        </w:rPr>
        <w:t xml:space="preserve"> с прямым действием комбинации антивирусный режим. Кроме того, </w:t>
      </w:r>
      <w:r w:rsidRPr="00AF60BF">
        <w:rPr>
          <w:rFonts w:ascii="Calibri" w:eastAsia="Calibri" w:hAnsi="Calibri" w:cs="Calibri"/>
          <w:lang w:val="en-US"/>
        </w:rPr>
        <w:t>RAVs</w:t>
      </w:r>
      <w:r w:rsidRPr="00ED536B">
        <w:rPr>
          <w:rFonts w:ascii="Calibri" w:eastAsia="Calibri" w:hAnsi="Calibri" w:cs="Calibri"/>
        </w:rPr>
        <w:t xml:space="preserve"> являются часто не поддающимися обнаружению с режимом (упорядочивание населения) методы обнаружения, ни с более чувствительными анализами вариантов </w:t>
      </w:r>
      <w:r w:rsidRPr="00AF60BF">
        <w:rPr>
          <w:rFonts w:ascii="Calibri" w:eastAsia="Calibri" w:hAnsi="Calibri" w:cs="Calibri"/>
          <w:lang w:val="en-US"/>
        </w:rPr>
        <w:t>HCV</w:t>
      </w:r>
      <w:r w:rsidRPr="00ED536B">
        <w:rPr>
          <w:rFonts w:ascii="Calibri" w:eastAsia="Calibri" w:hAnsi="Calibri" w:cs="Calibri"/>
        </w:rPr>
        <w:t>, после того, как пациенты будут проконтролированы в течение нескольких месяцев. (</w:t>
      </w:r>
      <w:hyperlink r:id="rId27" w:anchor="schneider2014">
        <w:r w:rsidRPr="00ED536B">
          <w:rPr>
            <w:rFonts w:ascii="Calibri" w:eastAsia="Calibri" w:hAnsi="Calibri" w:cs="Calibri"/>
            <w:color w:val="0000FF"/>
            <w:u w:val="single" w:color="0000FF"/>
          </w:rPr>
          <w:t>Шнайдер, 2014 [14]</w:t>
        </w:r>
      </w:hyperlink>
      <w:r w:rsidRPr="00ED536B">
        <w:rPr>
          <w:rFonts w:ascii="Calibri" w:eastAsia="Calibri" w:hAnsi="Calibri" w:cs="Calibri"/>
        </w:rPr>
        <w:t>), Последующее перелечение с противовирусными средствами комбинации, особенно режимы, содержащие противовирусные препараты, имеющие высокий барьер для устойчивости, такой как неструктурный белок 5</w:t>
      </w:r>
      <w:r w:rsidRPr="00AF60BF">
        <w:rPr>
          <w:rFonts w:ascii="Calibri" w:eastAsia="Calibri" w:hAnsi="Calibri" w:cs="Calibri"/>
          <w:lang w:val="en-US"/>
        </w:rPr>
        <w:t>B</w:t>
      </w:r>
      <w:r w:rsidRPr="00ED536B">
        <w:rPr>
          <w:rFonts w:ascii="Calibri" w:eastAsia="Calibri" w:hAnsi="Calibri" w:cs="Calibri"/>
        </w:rPr>
        <w:t xml:space="preserve">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B</w:t>
      </w:r>
      <w:r w:rsidRPr="00ED536B">
        <w:rPr>
          <w:rFonts w:ascii="Calibri" w:eastAsia="Calibri" w:hAnsi="Calibri" w:cs="Calibri"/>
        </w:rPr>
        <w:t xml:space="preserve">) ингибиторы полимеразы нуклеотида (например, </w:t>
      </w:r>
      <w:r w:rsidRPr="00AF60BF">
        <w:rPr>
          <w:rFonts w:ascii="Calibri" w:eastAsia="Calibri" w:hAnsi="Calibri" w:cs="Calibri"/>
          <w:lang w:val="en-US"/>
        </w:rPr>
        <w:t>sofosbuvir</w:t>
      </w:r>
      <w:r w:rsidRPr="00ED536B">
        <w:rPr>
          <w:rFonts w:ascii="Calibri" w:eastAsia="Calibri" w:hAnsi="Calibri" w:cs="Calibri"/>
        </w:rPr>
        <w:t xml:space="preserve">), могут преодолеть наличие устойчивости к 1 или более противовирусным средствам. Существует 2 ситуации, в которых основное тестирование на </w:t>
      </w:r>
      <w:r w:rsidRPr="00AF60BF">
        <w:rPr>
          <w:rFonts w:ascii="Calibri" w:eastAsia="Calibri" w:hAnsi="Calibri" w:cs="Calibri"/>
          <w:lang w:val="en-US"/>
        </w:rPr>
        <w:t>RAVs</w:t>
      </w:r>
      <w:r w:rsidRPr="00ED536B">
        <w:rPr>
          <w:rFonts w:ascii="Calibri" w:eastAsia="Calibri" w:hAnsi="Calibri" w:cs="Calibri"/>
        </w:rPr>
        <w:t xml:space="preserve"> рекомендуется в лечении генотипа </w:t>
      </w:r>
      <w:r w:rsidRPr="00AF60BF">
        <w:rPr>
          <w:rFonts w:ascii="Calibri" w:eastAsia="Calibri" w:hAnsi="Calibri" w:cs="Calibri"/>
          <w:lang w:val="en-US"/>
        </w:rPr>
        <w:t>HCV</w:t>
      </w:r>
      <w:r w:rsidRPr="00ED536B">
        <w:rPr>
          <w:rFonts w:ascii="Calibri" w:eastAsia="Calibri" w:hAnsi="Calibri" w:cs="Calibri"/>
        </w:rPr>
        <w:t xml:space="preserve"> 1 инфекцию. Во-первых, для тех пациентов, предшествующее лечение которых с содержащим ингибитор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потерпело неудачу и кто имеет цирроз или требует срочного перелечения, проверяющего на </w:t>
      </w:r>
      <w:r w:rsidRPr="00AF60BF">
        <w:rPr>
          <w:rFonts w:ascii="Calibri" w:eastAsia="Calibri" w:hAnsi="Calibri" w:cs="Calibri"/>
          <w:lang w:val="en-US"/>
        </w:rPr>
        <w:t>RAVs</w:t>
      </w:r>
      <w:r w:rsidRPr="00ED536B">
        <w:rPr>
          <w:rFonts w:ascii="Calibri" w:eastAsia="Calibri" w:hAnsi="Calibri" w:cs="Calibri"/>
        </w:rPr>
        <w:t xml:space="preserve">, присуждающие сниженную восприимчивость к протеазным ингибиторам </w:t>
      </w:r>
      <w:r w:rsidRPr="00AF60BF">
        <w:rPr>
          <w:rFonts w:ascii="Calibri" w:eastAsia="Calibri" w:hAnsi="Calibri" w:cs="Calibri"/>
          <w:lang w:val="en-US"/>
        </w:rPr>
        <w:t>NS</w:t>
      </w:r>
      <w:r w:rsidRPr="00ED536B">
        <w:rPr>
          <w:rFonts w:ascii="Calibri" w:eastAsia="Calibri" w:hAnsi="Calibri" w:cs="Calibri"/>
        </w:rPr>
        <w:t xml:space="preserve">3 (например,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и к ингибиторам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должен быть выполнен с помощью коммерчески доступных проб. В предварительном исследовании 41 пациента с или без цирроза, кто не достиг </w:t>
      </w:r>
      <w:r w:rsidRPr="00AF60BF">
        <w:rPr>
          <w:rFonts w:ascii="Calibri" w:eastAsia="Calibri" w:hAnsi="Calibri" w:cs="Calibri"/>
          <w:lang w:val="en-US"/>
        </w:rPr>
        <w:t>SVR</w:t>
      </w:r>
      <w:r w:rsidRPr="00ED536B">
        <w:rPr>
          <w:rFonts w:ascii="Calibri" w:eastAsia="Calibri" w:hAnsi="Calibri" w:cs="Calibri"/>
        </w:rPr>
        <w:t xml:space="preserve"> с 8 неделями или 12 неделями терапии с ежедневной газетой </w:t>
      </w:r>
      <w:r w:rsidRPr="00AF60BF">
        <w:rPr>
          <w:rFonts w:ascii="Calibri" w:eastAsia="Calibri" w:hAnsi="Calibri" w:cs="Calibri"/>
          <w:lang w:val="en-US"/>
        </w:rPr>
        <w:t>fixeddose</w:t>
      </w:r>
      <w:r w:rsidRPr="00ED536B">
        <w:rPr>
          <w:rFonts w:ascii="Calibri" w:eastAsia="Calibri" w:hAnsi="Calibri" w:cs="Calibri"/>
        </w:rPr>
        <w:t xml:space="preserve"> комбинация </w:t>
      </w:r>
      <w:r w:rsidRPr="00AF60BF">
        <w:rPr>
          <w:rFonts w:ascii="Calibri" w:eastAsia="Calibri" w:hAnsi="Calibri" w:cs="Calibri"/>
          <w:lang w:val="en-US"/>
        </w:rPr>
        <w:t>ledipasvir</w:t>
      </w:r>
      <w:r w:rsidRPr="00ED536B">
        <w:rPr>
          <w:rFonts w:ascii="Calibri" w:eastAsia="Calibri" w:hAnsi="Calibri" w:cs="Calibri"/>
        </w:rPr>
        <w:t xml:space="preserve"> (90 мг) и </w:t>
      </w:r>
      <w:r w:rsidRPr="00AF60BF">
        <w:rPr>
          <w:rFonts w:ascii="Calibri" w:eastAsia="Calibri" w:hAnsi="Calibri" w:cs="Calibri"/>
          <w:lang w:val="en-US"/>
        </w:rPr>
        <w:t>sofosbuvir</w:t>
      </w:r>
      <w:r w:rsidRPr="00ED536B">
        <w:rPr>
          <w:rFonts w:ascii="Calibri" w:eastAsia="Calibri" w:hAnsi="Calibri" w:cs="Calibri"/>
        </w:rPr>
        <w:t xml:space="preserve"> (400 мг) (после этого </w:t>
      </w:r>
      <w:r w:rsidRPr="00AF60BF">
        <w:rPr>
          <w:rFonts w:ascii="Calibri" w:eastAsia="Calibri" w:hAnsi="Calibri" w:cs="Calibri"/>
          <w:lang w:val="en-US"/>
        </w:rPr>
        <w:t>ledipasvir</w:t>
      </w:r>
      <w:r w:rsidRPr="00ED536B">
        <w:rPr>
          <w:rFonts w:ascii="Calibri" w:eastAsia="Calibri" w:hAnsi="Calibri" w:cs="Calibri"/>
        </w:rPr>
        <w:t>/</w:t>
      </w:r>
      <w:r w:rsidRPr="00AF60BF">
        <w:rPr>
          <w:rFonts w:ascii="Calibri" w:eastAsia="Calibri" w:hAnsi="Calibri" w:cs="Calibri"/>
          <w:lang w:val="en-US"/>
        </w:rPr>
        <w:t>sofosbuvir</w:t>
      </w:r>
      <w:r w:rsidRPr="00ED536B">
        <w:rPr>
          <w:rFonts w:ascii="Calibri" w:eastAsia="Calibri" w:hAnsi="Calibri" w:cs="Calibri"/>
        </w:rPr>
        <w:t xml:space="preserve">), кто отступился с 24 неделями </w:t>
      </w:r>
      <w:r w:rsidRPr="00AF60BF">
        <w:rPr>
          <w:rFonts w:ascii="Calibri" w:eastAsia="Calibri" w:hAnsi="Calibri" w:cs="Calibri"/>
          <w:lang w:val="en-US"/>
        </w:rPr>
        <w:t>ledipasvir</w:t>
      </w:r>
      <w:r w:rsidRPr="00ED536B">
        <w:rPr>
          <w:rFonts w:ascii="Calibri" w:eastAsia="Calibri" w:hAnsi="Calibri" w:cs="Calibri"/>
        </w:rPr>
        <w:t>/</w:t>
      </w:r>
      <w:r w:rsidRPr="00AF60BF">
        <w:rPr>
          <w:rFonts w:ascii="Calibri" w:eastAsia="Calibri" w:hAnsi="Calibri" w:cs="Calibri"/>
          <w:lang w:val="en-US"/>
        </w:rPr>
        <w:t>sofosbuvir</w:t>
      </w:r>
      <w:r w:rsidRPr="00ED536B">
        <w:rPr>
          <w:rFonts w:ascii="Calibri" w:eastAsia="Calibri" w:hAnsi="Calibri" w:cs="Calibri"/>
        </w:rPr>
        <w:t xml:space="preserve">, ставками </w:t>
      </w:r>
      <w:r w:rsidRPr="00AF60BF">
        <w:rPr>
          <w:rFonts w:ascii="Calibri" w:eastAsia="Calibri" w:hAnsi="Calibri" w:cs="Calibri"/>
          <w:lang w:val="en-US"/>
        </w:rPr>
        <w:t>SVR</w:t>
      </w:r>
      <w:r w:rsidRPr="00ED536B">
        <w:rPr>
          <w:rFonts w:ascii="Calibri" w:eastAsia="Calibri" w:hAnsi="Calibri" w:cs="Calibri"/>
        </w:rPr>
        <w:t xml:space="preserve"> в 12 недель, различных согласно наличию или отсутствию ингибитора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w:t>
      </w:r>
      <w:r w:rsidRPr="00AF60BF">
        <w:rPr>
          <w:rFonts w:ascii="Calibri" w:eastAsia="Calibri" w:hAnsi="Calibri" w:cs="Calibri"/>
          <w:lang w:val="en-US"/>
        </w:rPr>
        <w:t>RAVs</w:t>
      </w:r>
      <w:r w:rsidRPr="00ED536B">
        <w:rPr>
          <w:rFonts w:ascii="Calibri" w:eastAsia="Calibri" w:hAnsi="Calibri" w:cs="Calibri"/>
        </w:rPr>
        <w:t xml:space="preserve">. Среди 11 пациентов, в которых ингибитор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не были обнаружены </w:t>
      </w:r>
      <w:r w:rsidRPr="00AF60BF">
        <w:rPr>
          <w:rFonts w:ascii="Calibri" w:eastAsia="Calibri" w:hAnsi="Calibri" w:cs="Calibri"/>
          <w:lang w:val="en-US"/>
        </w:rPr>
        <w:t>RAVs</w:t>
      </w:r>
      <w:r w:rsidRPr="00ED536B">
        <w:rPr>
          <w:rFonts w:ascii="Calibri" w:eastAsia="Calibri" w:hAnsi="Calibri" w:cs="Calibri"/>
        </w:rPr>
        <w:t xml:space="preserve">, </w:t>
      </w:r>
      <w:r w:rsidRPr="00AF60BF">
        <w:rPr>
          <w:rFonts w:ascii="Calibri" w:eastAsia="Calibri" w:hAnsi="Calibri" w:cs="Calibri"/>
          <w:lang w:val="en-US"/>
        </w:rPr>
        <w:t>SVR</w:t>
      </w:r>
      <w:r w:rsidRPr="00ED536B">
        <w:rPr>
          <w:rFonts w:ascii="Calibri" w:eastAsia="Calibri" w:hAnsi="Calibri" w:cs="Calibri"/>
        </w:rPr>
        <w:t xml:space="preserve"> произошел в 11 из 11 (100%); напротив, среди 30 пациентов, в которых ингибитор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A</w:t>
      </w:r>
      <w:r w:rsidRPr="00ED536B">
        <w:rPr>
          <w:rFonts w:ascii="Calibri" w:eastAsia="Calibri" w:hAnsi="Calibri" w:cs="Calibri"/>
        </w:rPr>
        <w:t xml:space="preserve"> были обнаружены </w:t>
      </w:r>
      <w:r w:rsidRPr="00AF60BF">
        <w:rPr>
          <w:rFonts w:ascii="Calibri" w:eastAsia="Calibri" w:hAnsi="Calibri" w:cs="Calibri"/>
          <w:lang w:val="en-US"/>
        </w:rPr>
        <w:t>RAVs</w:t>
      </w:r>
      <w:r w:rsidRPr="00ED536B">
        <w:rPr>
          <w:rFonts w:ascii="Calibri" w:eastAsia="Calibri" w:hAnsi="Calibri" w:cs="Calibri"/>
        </w:rPr>
        <w:t xml:space="preserve">, </w:t>
      </w:r>
      <w:r w:rsidRPr="00AF60BF">
        <w:rPr>
          <w:rFonts w:ascii="Calibri" w:eastAsia="Calibri" w:hAnsi="Calibri" w:cs="Calibri"/>
          <w:lang w:val="en-US"/>
        </w:rPr>
        <w:t>SVR</w:t>
      </w:r>
      <w:r w:rsidRPr="00ED536B">
        <w:rPr>
          <w:rFonts w:ascii="Calibri" w:eastAsia="Calibri" w:hAnsi="Calibri" w:cs="Calibri"/>
        </w:rPr>
        <w:t xml:space="preserve"> произошел в 18 из 30 (60%). Значительно, ингибитор </w:t>
      </w:r>
      <w:r w:rsidRPr="00AF60BF">
        <w:rPr>
          <w:rFonts w:ascii="Calibri" w:eastAsia="Calibri" w:hAnsi="Calibri" w:cs="Calibri"/>
          <w:lang w:val="en-US"/>
        </w:rPr>
        <w:t>NS</w:t>
      </w:r>
      <w:r w:rsidRPr="00ED536B">
        <w:rPr>
          <w:rFonts w:ascii="Calibri" w:eastAsia="Calibri" w:hAnsi="Calibri" w:cs="Calibri"/>
        </w:rPr>
        <w:t>5</w:t>
      </w:r>
      <w:r w:rsidRPr="00AF60BF">
        <w:rPr>
          <w:rFonts w:ascii="Calibri" w:eastAsia="Calibri" w:hAnsi="Calibri" w:cs="Calibri"/>
          <w:lang w:val="en-US"/>
        </w:rPr>
        <w:t>B</w:t>
      </w:r>
      <w:r w:rsidRPr="00ED536B">
        <w:rPr>
          <w:rFonts w:ascii="Calibri" w:eastAsia="Calibri" w:hAnsi="Calibri" w:cs="Calibri"/>
        </w:rPr>
        <w:t xml:space="preserve">, </w:t>
      </w:r>
      <w:r w:rsidRPr="00AF60BF">
        <w:rPr>
          <w:rFonts w:ascii="Calibri" w:eastAsia="Calibri" w:hAnsi="Calibri" w:cs="Calibri"/>
          <w:lang w:val="en-US"/>
        </w:rPr>
        <w:t>RAVs</w:t>
      </w:r>
      <w:r w:rsidRPr="00ED536B">
        <w:rPr>
          <w:rFonts w:ascii="Calibri" w:eastAsia="Calibri" w:hAnsi="Calibri" w:cs="Calibri"/>
        </w:rPr>
        <w:t xml:space="preserve"> (например, </w:t>
      </w:r>
      <w:r w:rsidRPr="00AF60BF">
        <w:rPr>
          <w:rFonts w:ascii="Calibri" w:eastAsia="Calibri" w:hAnsi="Calibri" w:cs="Calibri"/>
          <w:lang w:val="en-US"/>
        </w:rPr>
        <w:t>S</w:t>
      </w:r>
      <w:r w:rsidRPr="00ED536B">
        <w:rPr>
          <w:rFonts w:ascii="Calibri" w:eastAsia="Calibri" w:hAnsi="Calibri" w:cs="Calibri"/>
        </w:rPr>
        <w:t>282</w:t>
      </w:r>
      <w:r w:rsidRPr="00AF60BF">
        <w:rPr>
          <w:rFonts w:ascii="Calibri" w:eastAsia="Calibri" w:hAnsi="Calibri" w:cs="Calibri"/>
          <w:lang w:val="en-US"/>
        </w:rPr>
        <w:t>T</w:t>
      </w:r>
      <w:r w:rsidRPr="00ED536B">
        <w:rPr>
          <w:rFonts w:ascii="Calibri" w:eastAsia="Calibri" w:hAnsi="Calibri" w:cs="Calibri"/>
        </w:rPr>
        <w:t xml:space="preserve">) известный присудить уменьшенную активность </w:t>
      </w:r>
      <w:r w:rsidRPr="00AF60BF">
        <w:rPr>
          <w:rFonts w:ascii="Calibri" w:eastAsia="Calibri" w:hAnsi="Calibri" w:cs="Calibri"/>
          <w:lang w:val="en-US"/>
        </w:rPr>
        <w:t>sofosbuvir</w:t>
      </w:r>
      <w:r w:rsidRPr="00ED536B">
        <w:rPr>
          <w:rFonts w:ascii="Calibri" w:eastAsia="Calibri" w:hAnsi="Calibri" w:cs="Calibri"/>
        </w:rPr>
        <w:t xml:space="preserve"> наблюдались в 3 из 12 (25%-х) пациентов, для которых режим перелечения не был успешен. Дополнительное обнаружение варианта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имеет последствия для режима перелечения, отобранного для этих пациентов (см. </w:t>
      </w:r>
      <w:hyperlink r:id="rId28" w:anchor="gt1-cirrhosis-txt">
        <w:r w:rsidRPr="00ED536B">
          <w:rPr>
            <w:rFonts w:ascii="Calibri" w:eastAsia="Calibri" w:hAnsi="Calibri" w:cs="Calibri"/>
            <w:color w:val="0000FF"/>
            <w:u w:val="single" w:color="0000FF"/>
          </w:rPr>
          <w:t>Перелечение</w:t>
        </w:r>
      </w:hyperlink>
      <w:r w:rsidRPr="00ED536B">
        <w:rPr>
          <w:rFonts w:ascii="Calibri" w:eastAsia="Calibri" w:hAnsi="Calibri" w:cs="Calibri"/>
        </w:rPr>
        <w:t xml:space="preserve"> </w:t>
      </w:r>
      <w:r w:rsidRPr="00ED536B">
        <w:rPr>
          <w:rFonts w:ascii="Calibri" w:eastAsia="Calibri" w:hAnsi="Calibri" w:cs="Calibri"/>
          <w:sz w:val="15"/>
        </w:rPr>
        <w:t>[15]</w:t>
      </w:r>
      <w:r w:rsidRPr="00ED536B">
        <w:rPr>
          <w:rFonts w:ascii="Calibri" w:eastAsia="Calibri" w:hAnsi="Calibri" w:cs="Calibri"/>
        </w:rPr>
        <w:t xml:space="preserve"> секция). Во-вторых, для наивных лечением пациентов или испытанных со ШТИФТОМ-</w:t>
      </w:r>
      <w:r w:rsidRPr="00AF60BF">
        <w:rPr>
          <w:rFonts w:ascii="Calibri" w:eastAsia="Calibri" w:hAnsi="Calibri" w:cs="Calibri"/>
          <w:lang w:val="en-US"/>
        </w:rPr>
        <w:t>IFN</w:t>
      </w:r>
      <w:r w:rsidRPr="00ED536B">
        <w:rPr>
          <w:rFonts w:ascii="Calibri" w:eastAsia="Calibri" w:hAnsi="Calibri" w:cs="Calibri"/>
        </w:rPr>
        <w:t xml:space="preserve"> и </w:t>
      </w:r>
      <w:r w:rsidRPr="00AF60BF">
        <w:rPr>
          <w:rFonts w:ascii="Calibri" w:eastAsia="Calibri" w:hAnsi="Calibri" w:cs="Calibri"/>
          <w:lang w:val="en-US"/>
        </w:rPr>
        <w:t>RBV</w:t>
      </w:r>
      <w:r w:rsidRPr="00ED536B">
        <w:rPr>
          <w:rFonts w:ascii="Calibri" w:eastAsia="Calibri" w:hAnsi="Calibri" w:cs="Calibri"/>
        </w:rPr>
        <w:t xml:space="preserve">, у кого есть генотип </w:t>
      </w:r>
      <w:r w:rsidRPr="00AF60BF">
        <w:rPr>
          <w:rFonts w:ascii="Calibri" w:eastAsia="Calibri" w:hAnsi="Calibri" w:cs="Calibri"/>
          <w:lang w:val="en-US"/>
        </w:rPr>
        <w:t>HCV</w:t>
      </w:r>
      <w:r w:rsidRPr="00ED536B">
        <w:rPr>
          <w:rFonts w:ascii="Calibri" w:eastAsia="Calibri" w:hAnsi="Calibri" w:cs="Calibri"/>
        </w:rPr>
        <w:t xml:space="preserve"> 1</w:t>
      </w:r>
      <w:r w:rsidRPr="00AF60BF">
        <w:rPr>
          <w:rFonts w:ascii="Calibri" w:eastAsia="Calibri" w:hAnsi="Calibri" w:cs="Calibri"/>
          <w:lang w:val="en-US"/>
        </w:rPr>
        <w:t>a</w:t>
      </w:r>
      <w:r w:rsidRPr="00ED536B">
        <w:rPr>
          <w:rFonts w:ascii="Calibri" w:eastAsia="Calibri" w:hAnsi="Calibri" w:cs="Calibri"/>
        </w:rPr>
        <w:t xml:space="preserve">, инфекция и цирроз, проверяющий на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w:t>
      </w:r>
      <w:r w:rsidRPr="00AF60BF">
        <w:rPr>
          <w:rFonts w:ascii="Calibri" w:eastAsia="Calibri" w:hAnsi="Calibri" w:cs="Calibri"/>
          <w:lang w:val="en-US"/>
        </w:rPr>
        <w:t>NS</w:t>
      </w:r>
      <w:r w:rsidRPr="00ED536B">
        <w:rPr>
          <w:rFonts w:ascii="Calibri" w:eastAsia="Calibri" w:hAnsi="Calibri" w:cs="Calibri"/>
        </w:rPr>
        <w:t xml:space="preserve">3 </w:t>
      </w:r>
      <w:r w:rsidRPr="00AF60BF">
        <w:rPr>
          <w:rFonts w:ascii="Calibri" w:eastAsia="Calibri" w:hAnsi="Calibri" w:cs="Calibri"/>
          <w:lang w:val="en-US"/>
        </w:rPr>
        <w:t>RAV</w:t>
      </w:r>
      <w:r w:rsidRPr="00ED536B">
        <w:rPr>
          <w:rFonts w:ascii="Calibri" w:eastAsia="Calibri" w:hAnsi="Calibri" w:cs="Calibri"/>
        </w:rPr>
        <w:t xml:space="preserve">, рекомендуются, когда </w:t>
      </w:r>
      <w:r w:rsidRPr="00AF60BF">
        <w:rPr>
          <w:rFonts w:ascii="Calibri" w:eastAsia="Calibri" w:hAnsi="Calibri" w:cs="Calibri"/>
          <w:lang w:val="en-US"/>
        </w:rPr>
        <w:t>simeprevir</w:t>
      </w:r>
      <w:r w:rsidRPr="00ED536B">
        <w:rPr>
          <w:rFonts w:ascii="Calibri" w:eastAsia="Calibri" w:hAnsi="Calibri" w:cs="Calibri"/>
        </w:rPr>
        <w:t xml:space="preserve"> и </w:t>
      </w:r>
      <w:r w:rsidRPr="00AF60BF">
        <w:rPr>
          <w:rFonts w:ascii="Calibri" w:eastAsia="Calibri" w:hAnsi="Calibri" w:cs="Calibri"/>
          <w:lang w:val="en-US"/>
        </w:rPr>
        <w:t>sofosbuvir</w:t>
      </w:r>
      <w:r w:rsidRPr="00ED536B">
        <w:rPr>
          <w:rFonts w:ascii="Calibri" w:eastAsia="Calibri" w:hAnsi="Calibri" w:cs="Calibri"/>
        </w:rPr>
        <w:t xml:space="preserve"> рассматривают как лечение. В ОПТИМИСТЕ 2 исследования, в которых с пациентами с циррозом отнеслись </w:t>
      </w:r>
      <w:r w:rsidRPr="00AF60BF">
        <w:rPr>
          <w:rFonts w:ascii="Calibri" w:eastAsia="Calibri" w:hAnsi="Calibri" w:cs="Calibri"/>
          <w:lang w:val="en-US"/>
        </w:rPr>
        <w:t>simeprevir</w:t>
      </w:r>
      <w:r w:rsidRPr="00ED536B">
        <w:rPr>
          <w:rFonts w:ascii="Calibri" w:eastAsia="Calibri" w:hAnsi="Calibri" w:cs="Calibri"/>
        </w:rPr>
        <w:t xml:space="preserve"> и </w:t>
      </w:r>
      <w:r w:rsidRPr="00AF60BF">
        <w:rPr>
          <w:rFonts w:ascii="Calibri" w:eastAsia="Calibri" w:hAnsi="Calibri" w:cs="Calibri"/>
          <w:lang w:val="en-US"/>
        </w:rPr>
        <w:t>sofosbuvir</w:t>
      </w:r>
      <w:r w:rsidRPr="00ED536B">
        <w:rPr>
          <w:rFonts w:ascii="Calibri" w:eastAsia="Calibri" w:hAnsi="Calibri" w:cs="Calibri"/>
        </w:rPr>
        <w:t xml:space="preserve">, наличие </w:t>
      </w:r>
      <w:r w:rsidRPr="00AF60BF">
        <w:rPr>
          <w:rFonts w:ascii="Calibri" w:eastAsia="Calibri" w:hAnsi="Calibri" w:cs="Calibri"/>
          <w:lang w:val="en-US"/>
        </w:rPr>
        <w:t>NS</w:t>
      </w:r>
      <w:r w:rsidRPr="00ED536B">
        <w:rPr>
          <w:rFonts w:ascii="Calibri" w:eastAsia="Calibri" w:hAnsi="Calibri" w:cs="Calibri"/>
        </w:rPr>
        <w:t xml:space="preserve">3 </w:t>
      </w:r>
      <w:r w:rsidRPr="00AF60BF">
        <w:rPr>
          <w:rFonts w:ascii="Calibri" w:eastAsia="Calibri" w:hAnsi="Calibri" w:cs="Calibri"/>
          <w:lang w:val="en-US"/>
        </w:rPr>
        <w:t>RAVs</w:t>
      </w:r>
      <w:r w:rsidRPr="00ED536B">
        <w:rPr>
          <w:rFonts w:ascii="Calibri" w:eastAsia="Calibri" w:hAnsi="Calibri" w:cs="Calibri"/>
        </w:rPr>
        <w:t xml:space="preserve">, специфично полиморфизм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были связаны со сниженным уровнем </w:t>
      </w:r>
      <w:r w:rsidRPr="00AF60BF">
        <w:rPr>
          <w:rFonts w:ascii="Calibri" w:eastAsia="Calibri" w:hAnsi="Calibri" w:cs="Calibri"/>
          <w:lang w:val="en-US"/>
        </w:rPr>
        <w:t>SVR</w:t>
      </w:r>
      <w:r w:rsidRPr="00ED536B">
        <w:rPr>
          <w:rFonts w:ascii="Calibri" w:eastAsia="Calibri" w:hAnsi="Calibri" w:cs="Calibri"/>
        </w:rPr>
        <w:t xml:space="preserve">. </w:t>
      </w:r>
      <w:r w:rsidRPr="00AF60BF">
        <w:rPr>
          <w:rFonts w:ascii="Calibri" w:eastAsia="Calibri" w:hAnsi="Calibri" w:cs="Calibri"/>
          <w:lang w:val="en-US"/>
        </w:rPr>
        <w:t>SVR</w:t>
      </w:r>
      <w:r w:rsidRPr="00ED536B">
        <w:rPr>
          <w:rFonts w:ascii="Calibri" w:eastAsia="Calibri" w:hAnsi="Calibri" w:cs="Calibri"/>
        </w:rPr>
        <w:t xml:space="preserve"> произошел в 25 из 34 (74%-х) пациентов с генотипом </w:t>
      </w:r>
      <w:r w:rsidRPr="00AF60BF">
        <w:rPr>
          <w:rFonts w:ascii="Calibri" w:eastAsia="Calibri" w:hAnsi="Calibri" w:cs="Calibri"/>
          <w:lang w:val="en-US"/>
        </w:rPr>
        <w:t>HCV</w:t>
      </w:r>
      <w:r w:rsidRPr="00ED536B">
        <w:rPr>
          <w:rFonts w:ascii="Calibri" w:eastAsia="Calibri" w:hAnsi="Calibri" w:cs="Calibri"/>
        </w:rPr>
        <w:t xml:space="preserve"> 1</w:t>
      </w:r>
      <w:r w:rsidRPr="00AF60BF">
        <w:rPr>
          <w:rFonts w:ascii="Calibri" w:eastAsia="Calibri" w:hAnsi="Calibri" w:cs="Calibri"/>
          <w:lang w:val="en-US"/>
        </w:rPr>
        <w:t>a</w:t>
      </w:r>
      <w:r w:rsidRPr="00ED536B">
        <w:rPr>
          <w:rFonts w:ascii="Calibri" w:eastAsia="Calibri" w:hAnsi="Calibri" w:cs="Calibri"/>
        </w:rPr>
        <w:t xml:space="preserve"> инфекция и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w:t>
      </w:r>
      <w:r w:rsidRPr="00AF60BF">
        <w:rPr>
          <w:rFonts w:ascii="Calibri" w:eastAsia="Calibri" w:hAnsi="Calibri" w:cs="Calibri"/>
          <w:lang w:val="en-US"/>
        </w:rPr>
        <w:t>RAV</w:t>
      </w:r>
      <w:r w:rsidRPr="00ED536B">
        <w:rPr>
          <w:rFonts w:ascii="Calibri" w:eastAsia="Calibri" w:hAnsi="Calibri" w:cs="Calibri"/>
        </w:rPr>
        <w:t xml:space="preserve"> и в 35 из 38 (92%-х) пациентов с генотипом </w:t>
      </w:r>
      <w:r w:rsidRPr="00AF60BF">
        <w:rPr>
          <w:rFonts w:ascii="Calibri" w:eastAsia="Calibri" w:hAnsi="Calibri" w:cs="Calibri"/>
          <w:lang w:val="en-US"/>
        </w:rPr>
        <w:t>HCV</w:t>
      </w:r>
      <w:r w:rsidRPr="00ED536B">
        <w:rPr>
          <w:rFonts w:ascii="Calibri" w:eastAsia="Calibri" w:hAnsi="Calibri" w:cs="Calibri"/>
        </w:rPr>
        <w:t xml:space="preserve"> 1</w:t>
      </w:r>
      <w:r w:rsidRPr="00AF60BF">
        <w:rPr>
          <w:rFonts w:ascii="Calibri" w:eastAsia="Calibri" w:hAnsi="Calibri" w:cs="Calibri"/>
          <w:lang w:val="en-US"/>
        </w:rPr>
        <w:t>a</w:t>
      </w:r>
      <w:r w:rsidRPr="00ED536B">
        <w:rPr>
          <w:rFonts w:ascii="Calibri" w:eastAsia="Calibri" w:hAnsi="Calibri" w:cs="Calibri"/>
        </w:rPr>
        <w:t xml:space="preserve"> инфекция без </w:t>
      </w:r>
      <w:r w:rsidRPr="00AF60BF">
        <w:rPr>
          <w:rFonts w:ascii="Calibri" w:eastAsia="Calibri" w:hAnsi="Calibri" w:cs="Calibri"/>
          <w:lang w:val="en-US"/>
        </w:rPr>
        <w:t>Q</w:t>
      </w:r>
      <w:r w:rsidRPr="00ED536B">
        <w:rPr>
          <w:rFonts w:ascii="Calibri" w:eastAsia="Calibri" w:hAnsi="Calibri" w:cs="Calibri"/>
        </w:rPr>
        <w:t>80</w:t>
      </w:r>
      <w:r w:rsidRPr="00AF60BF">
        <w:rPr>
          <w:rFonts w:ascii="Calibri" w:eastAsia="Calibri" w:hAnsi="Calibri" w:cs="Calibri"/>
          <w:lang w:val="en-US"/>
        </w:rPr>
        <w:t>K</w:t>
      </w:r>
      <w:r w:rsidRPr="00ED536B">
        <w:rPr>
          <w:rFonts w:ascii="Calibri" w:eastAsia="Calibri" w:hAnsi="Calibri" w:cs="Calibri"/>
        </w:rPr>
        <w:t xml:space="preserve"> </w:t>
      </w:r>
      <w:r w:rsidRPr="00AF60BF">
        <w:rPr>
          <w:rFonts w:ascii="Calibri" w:eastAsia="Calibri" w:hAnsi="Calibri" w:cs="Calibri"/>
          <w:lang w:val="en-US"/>
        </w:rPr>
        <w:t>RAV</w:t>
      </w:r>
      <w:r w:rsidRPr="00ED536B">
        <w:rPr>
          <w:rFonts w:ascii="Calibri" w:eastAsia="Calibri" w:hAnsi="Calibri" w:cs="Calibri"/>
        </w:rPr>
        <w:t xml:space="preserve"> (см. </w:t>
      </w:r>
      <w:hyperlink r:id="rId29" w:anchor="gt1-cirrhosis-txt">
        <w:r w:rsidRPr="00ED536B">
          <w:rPr>
            <w:rFonts w:ascii="Calibri" w:eastAsia="Calibri" w:hAnsi="Calibri" w:cs="Calibri"/>
            <w:color w:val="0000FF"/>
            <w:u w:val="single" w:color="0000FF"/>
          </w:rPr>
          <w:t>Начальное Лечение</w:t>
        </w:r>
      </w:hyperlink>
      <w:r w:rsidRPr="00ED536B">
        <w:rPr>
          <w:rFonts w:ascii="Calibri" w:eastAsia="Calibri" w:hAnsi="Calibri" w:cs="Calibri"/>
        </w:rPr>
        <w:t xml:space="preserve"> </w:t>
      </w:r>
      <w:r w:rsidRPr="00ED536B">
        <w:rPr>
          <w:rFonts w:ascii="Calibri" w:eastAsia="Calibri" w:hAnsi="Calibri" w:cs="Calibri"/>
          <w:sz w:val="15"/>
        </w:rPr>
        <w:t>[16]</w:t>
      </w:r>
      <w:r w:rsidRPr="00ED536B">
        <w:rPr>
          <w:rFonts w:ascii="Calibri" w:eastAsia="Calibri" w:hAnsi="Calibri" w:cs="Calibri"/>
        </w:rPr>
        <w:t xml:space="preserve"> или </w:t>
      </w:r>
      <w:hyperlink r:id="rId30" w:anchor="gt1-cirrhosis-txt2">
        <w:r w:rsidRPr="00ED536B">
          <w:rPr>
            <w:rFonts w:ascii="Calibri" w:eastAsia="Calibri" w:hAnsi="Calibri" w:cs="Calibri"/>
            <w:color w:val="0000FF"/>
            <w:u w:val="single" w:color="0000FF"/>
          </w:rPr>
          <w:t>Перелечение</w:t>
        </w:r>
      </w:hyperlink>
      <w:r w:rsidRPr="00ED536B">
        <w:rPr>
          <w:rFonts w:ascii="Calibri" w:eastAsia="Calibri" w:hAnsi="Calibri" w:cs="Calibri"/>
        </w:rPr>
        <w:t xml:space="preserve"> </w:t>
      </w:r>
      <w:r w:rsidRPr="00ED536B">
        <w:rPr>
          <w:rFonts w:ascii="Calibri" w:eastAsia="Calibri" w:hAnsi="Calibri" w:cs="Calibri"/>
          <w:sz w:val="15"/>
        </w:rPr>
        <w:t>[17]</w:t>
      </w:r>
      <w:r w:rsidRPr="00ED536B">
        <w:rPr>
          <w:rFonts w:ascii="Calibri" w:eastAsia="Calibri" w:hAnsi="Calibri" w:cs="Calibri"/>
        </w:rPr>
        <w:t xml:space="preserve"> секции).</w:t>
      </w:r>
    </w:p>
    <w:p w:rsidR="00ED536B" w:rsidRPr="00ED536B" w:rsidRDefault="00ED536B" w:rsidP="0027624C">
      <w:pPr>
        <w:spacing w:after="533" w:line="262" w:lineRule="auto"/>
        <w:ind w:left="-5" w:right="24" w:hanging="10"/>
      </w:pPr>
      <w:r w:rsidRPr="00ED536B">
        <w:rPr>
          <w:rFonts w:ascii="Calibri" w:eastAsia="Calibri" w:hAnsi="Calibri" w:cs="Calibri"/>
        </w:rPr>
        <w:t xml:space="preserve">Если там остается неуверенностью относительно применимости тестирования </w:t>
      </w:r>
      <w:r w:rsidRPr="00AF60BF">
        <w:rPr>
          <w:rFonts w:ascii="Calibri" w:eastAsia="Calibri" w:hAnsi="Calibri" w:cs="Calibri"/>
          <w:lang w:val="en-US"/>
        </w:rPr>
        <w:t>RAV</w:t>
      </w:r>
      <w:r w:rsidRPr="00ED536B">
        <w:rPr>
          <w:rFonts w:ascii="Calibri" w:eastAsia="Calibri" w:hAnsi="Calibri" w:cs="Calibri"/>
        </w:rPr>
        <w:t xml:space="preserve">, консультация с экспертом в лечении инфекции </w:t>
      </w:r>
      <w:r w:rsidRPr="00AF60BF">
        <w:rPr>
          <w:rFonts w:ascii="Calibri" w:eastAsia="Calibri" w:hAnsi="Calibri" w:cs="Calibri"/>
          <w:lang w:val="en-US"/>
        </w:rPr>
        <w:t>HCV</w:t>
      </w:r>
      <w:r w:rsidRPr="00ED536B">
        <w:rPr>
          <w:rFonts w:ascii="Calibri" w:eastAsia="Calibri" w:hAnsi="Calibri" w:cs="Calibri"/>
        </w:rPr>
        <w:t xml:space="preserve"> может быть полезной.</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145" w:line="260" w:lineRule="auto"/>
        <w:ind w:left="260" w:right="66" w:hanging="10"/>
      </w:pPr>
      <w:r w:rsidRPr="00ED536B">
        <w:rPr>
          <w:rFonts w:ascii="Calibri" w:eastAsia="Calibri" w:hAnsi="Calibri" w:cs="Calibri"/>
          <w:b/>
          <w:i/>
          <w:color w:val="145314"/>
          <w:sz w:val="24"/>
        </w:rPr>
        <w:t>Рекомендуемое наблюдение для пациентов, достигающих длительной вирусологической реакции (</w:t>
      </w:r>
      <w:r w:rsidRPr="00AF60BF">
        <w:rPr>
          <w:rFonts w:ascii="Calibri" w:eastAsia="Calibri" w:hAnsi="Calibri" w:cs="Calibri"/>
          <w:b/>
          <w:i/>
          <w:color w:val="145314"/>
          <w:sz w:val="24"/>
          <w:lang w:val="en-US"/>
        </w:rPr>
        <w:t>SVR</w:t>
      </w:r>
      <w:r w:rsidRPr="00ED536B">
        <w:rPr>
          <w:rFonts w:ascii="Calibri" w:eastAsia="Calibri" w:hAnsi="Calibri" w:cs="Calibri"/>
          <w:b/>
          <w:i/>
          <w:color w:val="145314"/>
          <w:sz w:val="24"/>
        </w:rPr>
        <w:t>).</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03" w:line="261" w:lineRule="auto"/>
        <w:ind w:left="260" w:right="66" w:hanging="10"/>
      </w:pPr>
      <w:r w:rsidRPr="00ED536B">
        <w:rPr>
          <w:rFonts w:ascii="Calibri" w:eastAsia="Calibri" w:hAnsi="Calibri" w:cs="Calibri"/>
          <w:b/>
          <w:color w:val="3077B8"/>
          <w:sz w:val="26"/>
        </w:rPr>
        <w:t xml:space="preserve">Для пациентов, у которых нет прогрессирующего фиброза (т.е., те со стадией </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0-</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 xml:space="preserve">2 </w:t>
      </w:r>
      <w:r w:rsidRPr="00AF60BF">
        <w:rPr>
          <w:rFonts w:ascii="Calibri" w:eastAsia="Calibri" w:hAnsi="Calibri" w:cs="Calibri"/>
          <w:b/>
          <w:color w:val="3077B8"/>
          <w:sz w:val="26"/>
          <w:lang w:val="en-US"/>
        </w:rPr>
        <w:t>Metavir</w:t>
      </w:r>
      <w:r w:rsidRPr="00ED536B">
        <w:rPr>
          <w:rFonts w:ascii="Calibri" w:eastAsia="Calibri" w:hAnsi="Calibri" w:cs="Calibri"/>
          <w:b/>
          <w:color w:val="3077B8"/>
          <w:sz w:val="26"/>
        </w:rPr>
        <w:t xml:space="preserve">), рекомендуемый наблюдение, совпадает с, если они никогда не заражались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94"/>
        <w:ind w:left="260" w:right="66"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B</w:t>
      </w:r>
    </w:p>
    <w:p w:rsidR="00ED536B" w:rsidRPr="00ED536B" w:rsidRDefault="00ED536B" w:rsidP="0027624C">
      <w:pPr>
        <w:pBdr>
          <w:top w:val="single" w:sz="18" w:space="0" w:color="1B6F1B"/>
          <w:left w:val="single" w:sz="18" w:space="0" w:color="1B6F1B"/>
          <w:right w:val="single" w:sz="18" w:space="0" w:color="1B6F1B"/>
        </w:pBdr>
        <w:shd w:val="clear" w:color="auto" w:fill="FFFAF6"/>
        <w:spacing w:after="203" w:line="261" w:lineRule="auto"/>
        <w:ind w:left="260" w:right="66" w:hanging="10"/>
      </w:pPr>
      <w:r w:rsidRPr="00ED536B">
        <w:rPr>
          <w:rFonts w:ascii="Calibri" w:eastAsia="Calibri" w:hAnsi="Calibri" w:cs="Calibri"/>
          <w:b/>
          <w:color w:val="3077B8"/>
          <w:sz w:val="26"/>
        </w:rPr>
        <w:t xml:space="preserve">Оценка для рецидива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или повторной инфекции рекомендуется, только если у пациента есть продолжающийся риск для инфекции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или иначе необъясненная печеночная дисфункция развивается. В таких случаях, количественной пробе РНК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а не </w:t>
      </w:r>
      <w:r w:rsidRPr="00AF60BF">
        <w:rPr>
          <w:rFonts w:ascii="Calibri" w:eastAsia="Calibri" w:hAnsi="Calibri" w:cs="Calibri"/>
          <w:b/>
          <w:color w:val="3077B8"/>
          <w:sz w:val="26"/>
          <w:lang w:val="en-US"/>
        </w:rPr>
        <w:t>anti</w:t>
      </w:r>
      <w:r w:rsidRPr="00ED536B">
        <w:rPr>
          <w:rFonts w:ascii="Calibri" w:eastAsia="Calibri" w:hAnsi="Calibri" w:cs="Calibri"/>
          <w:b/>
          <w:color w:val="3077B8"/>
          <w:sz w:val="26"/>
        </w:rPr>
        <w:t>-</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анализе серологии рекомендуется проверить на рецидив </w:t>
      </w:r>
      <w:r w:rsidRPr="00AF60BF">
        <w:rPr>
          <w:rFonts w:ascii="Calibri" w:eastAsia="Calibri" w:hAnsi="Calibri" w:cs="Calibri"/>
          <w:b/>
          <w:color w:val="3077B8"/>
          <w:sz w:val="26"/>
          <w:lang w:val="en-US"/>
        </w:rPr>
        <w:t>HCV</w:t>
      </w:r>
      <w:r w:rsidRPr="00ED536B">
        <w:rPr>
          <w:rFonts w:ascii="Calibri" w:eastAsia="Calibri" w:hAnsi="Calibri" w:cs="Calibri"/>
          <w:b/>
          <w:color w:val="3077B8"/>
          <w:sz w:val="26"/>
        </w:rPr>
        <w:t xml:space="preserve"> или повторную инфекцию.</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A</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02" w:line="261" w:lineRule="auto"/>
        <w:ind w:left="260" w:hanging="10"/>
      </w:pPr>
      <w:r w:rsidRPr="00ED536B">
        <w:rPr>
          <w:rFonts w:ascii="Calibri" w:eastAsia="Calibri" w:hAnsi="Calibri" w:cs="Calibri"/>
          <w:b/>
          <w:color w:val="3077B8"/>
          <w:sz w:val="26"/>
        </w:rPr>
        <w:t xml:space="preserve">Наблюдение для гепатоцеллюлярного рака с происходящим два раза в году тестированием ультразвука рекомендуется для пациентов с прогрессирующим фиброзом (т.е., стадия </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 xml:space="preserve">3 или </w:t>
      </w:r>
      <w:r w:rsidRPr="00AF60BF">
        <w:rPr>
          <w:rFonts w:ascii="Calibri" w:eastAsia="Calibri" w:hAnsi="Calibri" w:cs="Calibri"/>
          <w:b/>
          <w:color w:val="3077B8"/>
          <w:sz w:val="26"/>
          <w:lang w:val="en-US"/>
        </w:rPr>
        <w:t>F</w:t>
      </w:r>
      <w:r w:rsidRPr="00ED536B">
        <w:rPr>
          <w:rFonts w:ascii="Calibri" w:eastAsia="Calibri" w:hAnsi="Calibri" w:cs="Calibri"/>
          <w:b/>
          <w:color w:val="3077B8"/>
          <w:sz w:val="26"/>
        </w:rPr>
        <w:t xml:space="preserve">4 </w:t>
      </w:r>
      <w:r w:rsidRPr="00AF60BF">
        <w:rPr>
          <w:rFonts w:ascii="Calibri" w:eastAsia="Calibri" w:hAnsi="Calibri" w:cs="Calibri"/>
          <w:b/>
          <w:color w:val="3077B8"/>
          <w:sz w:val="26"/>
          <w:lang w:val="en-US"/>
        </w:rPr>
        <w:t>Metavir</w:t>
      </w:r>
      <w:r w:rsidRPr="00ED536B">
        <w:rPr>
          <w:rFonts w:ascii="Calibri" w:eastAsia="Calibri" w:hAnsi="Calibri" w:cs="Calibri"/>
          <w:b/>
          <w:color w:val="3077B8"/>
          <w:sz w:val="26"/>
        </w:rPr>
        <w:t xml:space="preserve">), кто достигает </w:t>
      </w:r>
      <w:r w:rsidRPr="00AF60BF">
        <w:rPr>
          <w:rFonts w:ascii="Calibri" w:eastAsia="Calibri" w:hAnsi="Calibri" w:cs="Calibri"/>
          <w:b/>
          <w:color w:val="3077B8"/>
          <w:sz w:val="26"/>
          <w:lang w:val="en-US"/>
        </w:rPr>
        <w:t>SVR</w:t>
      </w:r>
      <w:r w:rsidRPr="00ED536B">
        <w:rPr>
          <w:rFonts w:ascii="Calibri" w:eastAsia="Calibri" w:hAnsi="Calibri" w:cs="Calibri"/>
          <w:b/>
          <w:color w:val="3077B8"/>
          <w:sz w:val="26"/>
        </w:rPr>
        <w:t>.</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02" w:line="261" w:lineRule="auto"/>
        <w:ind w:left="260" w:hanging="10"/>
      </w:pPr>
      <w:r w:rsidRPr="00ED536B">
        <w:rPr>
          <w:rFonts w:ascii="Calibri" w:eastAsia="Calibri" w:hAnsi="Calibri" w:cs="Calibri"/>
          <w:b/>
          <w:color w:val="3077B8"/>
          <w:sz w:val="26"/>
        </w:rPr>
        <w:t>Начальной эндоскопии рекомендуют проверить на варикоз, если цирроз присутствует. Пациенты, в которых варикоз найдены, должны лечиться и контролироваться, как обозначено.</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288"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87" w:line="261" w:lineRule="auto"/>
        <w:ind w:left="260" w:hanging="10"/>
      </w:pPr>
      <w:r w:rsidRPr="00ED536B">
        <w:rPr>
          <w:rFonts w:ascii="Calibri" w:eastAsia="Calibri" w:hAnsi="Calibri" w:cs="Calibri"/>
          <w:b/>
          <w:color w:val="3077B8"/>
          <w:sz w:val="26"/>
        </w:rPr>
        <w:t xml:space="preserve">Оценка других причин заболевания печени рекомендуется для пациентов, развивающих постоянно патологические анализы печени после достижения </w:t>
      </w:r>
      <w:r w:rsidRPr="00AF60BF">
        <w:rPr>
          <w:rFonts w:ascii="Calibri" w:eastAsia="Calibri" w:hAnsi="Calibri" w:cs="Calibri"/>
          <w:b/>
          <w:color w:val="3077B8"/>
          <w:sz w:val="26"/>
          <w:lang w:val="en-US"/>
        </w:rPr>
        <w:t>SVR</w:t>
      </w:r>
      <w:r w:rsidRPr="00ED536B">
        <w:rPr>
          <w:rFonts w:ascii="Calibri" w:eastAsia="Calibri" w:hAnsi="Calibri" w:cs="Calibri"/>
          <w:b/>
          <w:color w:val="3077B8"/>
          <w:sz w:val="26"/>
        </w:rPr>
        <w:t>.</w:t>
      </w:r>
    </w:p>
    <w:p w:rsidR="00ED536B" w:rsidRPr="00ED536B" w:rsidRDefault="00ED536B" w:rsidP="0027624C">
      <w:pPr>
        <w:pBdr>
          <w:left w:val="single" w:sz="18" w:space="0" w:color="1B6F1B"/>
          <w:bottom w:val="single" w:sz="18" w:space="0" w:color="1B6F1B"/>
          <w:right w:val="single" w:sz="18" w:space="0" w:color="1B6F1B"/>
        </w:pBdr>
        <w:shd w:val="clear" w:color="auto" w:fill="FFFAF6"/>
        <w:spacing w:after="702" w:line="265" w:lineRule="auto"/>
        <w:ind w:left="260" w:hanging="10"/>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spacing w:after="0" w:line="262" w:lineRule="auto"/>
        <w:ind w:left="-5" w:right="24" w:hanging="10"/>
      </w:pPr>
      <w:r w:rsidRPr="00ED536B">
        <w:rPr>
          <w:rFonts w:ascii="Calibri" w:eastAsia="Calibri" w:hAnsi="Calibri" w:cs="Calibri"/>
        </w:rPr>
        <w:t xml:space="preserve">С появлением очень эффективных антивирусных режимов </w:t>
      </w:r>
      <w:r w:rsidRPr="00AF60BF">
        <w:rPr>
          <w:rFonts w:ascii="Calibri" w:eastAsia="Calibri" w:hAnsi="Calibri" w:cs="Calibri"/>
          <w:lang w:val="en-US"/>
        </w:rPr>
        <w:t>HCV</w:t>
      </w:r>
      <w:r w:rsidRPr="00ED536B">
        <w:rPr>
          <w:rFonts w:ascii="Calibri" w:eastAsia="Calibri" w:hAnsi="Calibri" w:cs="Calibri"/>
        </w:rPr>
        <w:t xml:space="preserve">, вероятностью достижения </w:t>
      </w:r>
      <w:r w:rsidRPr="00AF60BF">
        <w:rPr>
          <w:rFonts w:ascii="Calibri" w:eastAsia="Calibri" w:hAnsi="Calibri" w:cs="Calibri"/>
          <w:lang w:val="en-US"/>
        </w:rPr>
        <w:t>SVR</w:t>
      </w:r>
      <w:r w:rsidRPr="00ED536B">
        <w:rPr>
          <w:rFonts w:ascii="Calibri" w:eastAsia="Calibri" w:hAnsi="Calibri" w:cs="Calibri"/>
        </w:rPr>
        <w:t xml:space="preserve"> среди сторонника, иммунологическим образом компетентные, наивные лечением пациенты с данным компенсацию заболеванием печени обычно превышают 90%. Из пациентов, достигнувших </w:t>
      </w:r>
      <w:r w:rsidRPr="00AF60BF">
        <w:rPr>
          <w:rFonts w:ascii="Calibri" w:eastAsia="Calibri" w:hAnsi="Calibri" w:cs="Calibri"/>
          <w:lang w:val="en-US"/>
        </w:rPr>
        <w:t>SVR</w:t>
      </w:r>
      <w:r w:rsidRPr="00ED536B">
        <w:rPr>
          <w:rFonts w:ascii="Calibri" w:eastAsia="Calibri" w:hAnsi="Calibri" w:cs="Calibri"/>
        </w:rPr>
        <w:t xml:space="preserve"> со ШТИФТОМ-</w:t>
      </w:r>
      <w:r w:rsidRPr="00AF60BF">
        <w:rPr>
          <w:rFonts w:ascii="Calibri" w:eastAsia="Calibri" w:hAnsi="Calibri" w:cs="Calibri"/>
          <w:lang w:val="en-US"/>
        </w:rPr>
        <w:t>IFN</w:t>
      </w:r>
      <w:r w:rsidRPr="00ED536B">
        <w:rPr>
          <w:rFonts w:ascii="Calibri" w:eastAsia="Calibri" w:hAnsi="Calibri" w:cs="Calibri"/>
        </w:rPr>
        <w:t xml:space="preserve"> и лечением </w:t>
      </w:r>
      <w:r w:rsidRPr="00AF60BF">
        <w:rPr>
          <w:rFonts w:ascii="Calibri" w:eastAsia="Calibri" w:hAnsi="Calibri" w:cs="Calibri"/>
          <w:lang w:val="en-US"/>
        </w:rPr>
        <w:t>RBV</w:t>
      </w:r>
      <w:r w:rsidRPr="00ED536B">
        <w:rPr>
          <w:rFonts w:ascii="Calibri" w:eastAsia="Calibri" w:hAnsi="Calibri" w:cs="Calibri"/>
        </w:rPr>
        <w:t>, больше, чем</w:t>
      </w:r>
    </w:p>
    <w:p w:rsidR="00ED536B" w:rsidRPr="00ED536B" w:rsidRDefault="00ED536B" w:rsidP="0027624C">
      <w:pPr>
        <w:spacing w:after="247" w:line="262" w:lineRule="auto"/>
        <w:ind w:left="-5" w:right="562" w:hanging="10"/>
      </w:pPr>
      <w:r w:rsidRPr="00ED536B">
        <w:rPr>
          <w:rFonts w:ascii="Calibri" w:eastAsia="Calibri" w:hAnsi="Calibri" w:cs="Calibri"/>
        </w:rPr>
        <w:t xml:space="preserve">99% оставались свободными от инфекции </w:t>
      </w:r>
      <w:r w:rsidRPr="00AF60BF">
        <w:rPr>
          <w:rFonts w:ascii="Calibri" w:eastAsia="Calibri" w:hAnsi="Calibri" w:cs="Calibri"/>
          <w:lang w:val="en-US"/>
        </w:rPr>
        <w:t>HCV</w:t>
      </w:r>
      <w:r w:rsidRPr="00ED536B">
        <w:rPr>
          <w:rFonts w:ascii="Calibri" w:eastAsia="Calibri" w:hAnsi="Calibri" w:cs="Calibri"/>
        </w:rPr>
        <w:t>, когда проконтролировано в течение 5 лет после завершения лечения. (</w:t>
      </w:r>
      <w:hyperlink r:id="rId31" w:anchor="manns2013">
        <w:r w:rsidRPr="00AF60BF">
          <w:rPr>
            <w:rFonts w:ascii="Calibri" w:eastAsia="Calibri" w:hAnsi="Calibri" w:cs="Calibri"/>
            <w:color w:val="0000FF"/>
            <w:u w:val="single" w:color="0000FF"/>
            <w:lang w:val="en-US"/>
          </w:rPr>
          <w:t>Manns</w:t>
        </w:r>
        <w:r w:rsidRPr="00ED536B">
          <w:rPr>
            <w:rFonts w:ascii="Calibri" w:eastAsia="Calibri" w:hAnsi="Calibri" w:cs="Calibri"/>
            <w:color w:val="0000FF"/>
            <w:u w:val="single" w:color="0000FF"/>
          </w:rPr>
          <w:t>, 2013 [18]</w:t>
        </w:r>
      </w:hyperlink>
      <w:r w:rsidRPr="00ED536B">
        <w:rPr>
          <w:rFonts w:ascii="Calibri" w:eastAsia="Calibri" w:hAnsi="Calibri" w:cs="Calibri"/>
        </w:rPr>
        <w:t xml:space="preserve">), Таким образом достигание </w:t>
      </w:r>
      <w:r w:rsidRPr="00AF60BF">
        <w:rPr>
          <w:rFonts w:ascii="Calibri" w:eastAsia="Calibri" w:hAnsi="Calibri" w:cs="Calibri"/>
          <w:lang w:val="en-US"/>
        </w:rPr>
        <w:t>SVR</w:t>
      </w:r>
      <w:r w:rsidRPr="00ED536B">
        <w:rPr>
          <w:rFonts w:ascii="Calibri" w:eastAsia="Calibri" w:hAnsi="Calibri" w:cs="Calibri"/>
        </w:rPr>
        <w:t xml:space="preserve"> считают вирусологическим лечением от инфекции </w:t>
      </w:r>
      <w:r w:rsidRPr="00AF60BF">
        <w:rPr>
          <w:rFonts w:ascii="Calibri" w:eastAsia="Calibri" w:hAnsi="Calibri" w:cs="Calibri"/>
          <w:lang w:val="en-US"/>
        </w:rPr>
        <w:t>HCV</w:t>
      </w:r>
      <w:r w:rsidRPr="00ED536B">
        <w:rPr>
          <w:rFonts w:ascii="Calibri" w:eastAsia="Calibri" w:hAnsi="Calibri" w:cs="Calibri"/>
        </w:rPr>
        <w:t>.</w:t>
      </w:r>
    </w:p>
    <w:p w:rsidR="00ED536B" w:rsidRPr="00ED536B" w:rsidRDefault="00ED536B" w:rsidP="0027624C">
      <w:pPr>
        <w:spacing w:after="247" w:line="262" w:lineRule="auto"/>
        <w:ind w:left="-5" w:right="24" w:hanging="10"/>
      </w:pPr>
      <w:r w:rsidRPr="00AF60BF">
        <w:rPr>
          <w:rFonts w:ascii="Calibri" w:eastAsia="Calibri" w:hAnsi="Calibri" w:cs="Calibri"/>
          <w:lang w:val="en-US"/>
        </w:rPr>
        <w:t>SVR</w:t>
      </w:r>
      <w:r w:rsidRPr="00ED536B">
        <w:rPr>
          <w:rFonts w:ascii="Calibri" w:eastAsia="Calibri" w:hAnsi="Calibri" w:cs="Calibri"/>
        </w:rPr>
        <w:t>, как правило, прерывает развитие повреждения печени с регрессом фиброза печени в большинстве, но не всех лечивших пациентах. (</w:t>
      </w:r>
      <w:hyperlink r:id="rId32" w:anchor="morisco2013">
        <w:r w:rsidRPr="00AF60BF">
          <w:rPr>
            <w:rFonts w:ascii="Calibri" w:eastAsia="Calibri" w:hAnsi="Calibri" w:cs="Calibri"/>
            <w:color w:val="0000FF"/>
            <w:u w:val="single" w:color="0000FF"/>
            <w:lang w:val="en-US"/>
          </w:rPr>
          <w:t>Morisco</w:t>
        </w:r>
        <w:r w:rsidRPr="00ED536B">
          <w:rPr>
            <w:rFonts w:ascii="Calibri" w:eastAsia="Calibri" w:hAnsi="Calibri" w:cs="Calibri"/>
            <w:color w:val="0000FF"/>
            <w:u w:val="single" w:color="0000FF"/>
          </w:rPr>
          <w:t>, 2013 [19]</w:t>
        </w:r>
      </w:hyperlink>
      <w:r w:rsidRPr="00ED536B">
        <w:rPr>
          <w:rFonts w:ascii="Calibri" w:eastAsia="Calibri" w:hAnsi="Calibri" w:cs="Calibri"/>
        </w:rPr>
        <w:t>); (</w:t>
      </w:r>
      <w:hyperlink r:id="rId33" w:anchor="morgan2010">
        <w:r w:rsidRPr="00ED536B">
          <w:rPr>
            <w:rFonts w:ascii="Calibri" w:eastAsia="Calibri" w:hAnsi="Calibri" w:cs="Calibri"/>
            <w:color w:val="0000FF"/>
            <w:u w:val="single" w:color="0000FF"/>
          </w:rPr>
          <w:t>Морган, 2010 [20]</w:t>
        </w:r>
      </w:hyperlink>
      <w:r w:rsidRPr="00ED536B">
        <w:rPr>
          <w:rFonts w:ascii="Calibri" w:eastAsia="Calibri" w:hAnsi="Calibri" w:cs="Calibri"/>
        </w:rPr>
        <w:t>); (</w:t>
      </w:r>
      <w:hyperlink r:id="rId34" w:anchor="george2009">
        <w:r w:rsidRPr="00ED536B">
          <w:rPr>
            <w:rFonts w:ascii="Calibri" w:eastAsia="Calibri" w:hAnsi="Calibri" w:cs="Calibri"/>
            <w:color w:val="0000FF"/>
            <w:u w:val="single" w:color="0000FF"/>
          </w:rPr>
          <w:t>Джордж, 2009 [21]</w:t>
        </w:r>
      </w:hyperlink>
      <w:r w:rsidRPr="00ED536B">
        <w:rPr>
          <w:rFonts w:ascii="Calibri" w:eastAsia="Calibri" w:hAnsi="Calibri" w:cs="Calibri"/>
        </w:rPr>
        <w:t>); (</w:t>
      </w:r>
      <w:hyperlink r:id="rId35" w:anchor="morgan2013">
        <w:r w:rsidRPr="00ED536B">
          <w:rPr>
            <w:rFonts w:ascii="Calibri" w:eastAsia="Calibri" w:hAnsi="Calibri" w:cs="Calibri"/>
            <w:color w:val="0000FF"/>
            <w:u w:val="single" w:color="0000FF"/>
          </w:rPr>
          <w:t>Морган, 2013 [22]</w:t>
        </w:r>
      </w:hyperlink>
      <w:r w:rsidRPr="00ED536B">
        <w:rPr>
          <w:rFonts w:ascii="Calibri" w:eastAsia="Calibri" w:hAnsi="Calibri" w:cs="Calibri"/>
        </w:rPr>
        <w:t>); (</w:t>
      </w:r>
      <w:hyperlink r:id="rId36" w:anchor="singal2010">
        <w:r w:rsidRPr="00AF60BF">
          <w:rPr>
            <w:rFonts w:ascii="Calibri" w:eastAsia="Calibri" w:hAnsi="Calibri" w:cs="Calibri"/>
            <w:color w:val="0000FF"/>
            <w:u w:val="single" w:color="0000FF"/>
            <w:lang w:val="en-US"/>
          </w:rPr>
          <w:t>Singal</w:t>
        </w:r>
        <w:r w:rsidRPr="00ED536B">
          <w:rPr>
            <w:rFonts w:ascii="Calibri" w:eastAsia="Calibri" w:hAnsi="Calibri" w:cs="Calibri"/>
            <w:color w:val="0000FF"/>
            <w:u w:val="single" w:color="0000FF"/>
          </w:rPr>
          <w:t>, 2010 [23]</w:t>
        </w:r>
      </w:hyperlink>
      <w:r w:rsidRPr="00ED536B">
        <w:rPr>
          <w:rFonts w:ascii="Calibri" w:eastAsia="Calibri" w:hAnsi="Calibri" w:cs="Calibri"/>
        </w:rPr>
        <w:t xml:space="preserve">) из-за отсутствия прогрессии пациенты без прогрессирующего фиброза печени (т.е., стадия </w:t>
      </w:r>
      <w:r w:rsidRPr="00AF60BF">
        <w:rPr>
          <w:rFonts w:ascii="Calibri" w:eastAsia="Calibri" w:hAnsi="Calibri" w:cs="Calibri"/>
          <w:lang w:val="en-US"/>
        </w:rPr>
        <w:t>F</w:t>
      </w:r>
      <w:r w:rsidRPr="00ED536B">
        <w:rPr>
          <w:rFonts w:ascii="Calibri" w:eastAsia="Calibri" w:hAnsi="Calibri" w:cs="Calibri"/>
        </w:rPr>
        <w:t>0-</w:t>
      </w:r>
      <w:r w:rsidRPr="00AF60BF">
        <w:rPr>
          <w:rFonts w:ascii="Calibri" w:eastAsia="Calibri" w:hAnsi="Calibri" w:cs="Calibri"/>
          <w:lang w:val="en-US"/>
        </w:rPr>
        <w:t>F</w:t>
      </w:r>
      <w:r w:rsidRPr="00ED536B">
        <w:rPr>
          <w:rFonts w:ascii="Calibri" w:eastAsia="Calibri" w:hAnsi="Calibri" w:cs="Calibri"/>
        </w:rPr>
        <w:t xml:space="preserve">2 </w:t>
      </w:r>
      <w:r w:rsidRPr="00AF60BF">
        <w:rPr>
          <w:rFonts w:ascii="Calibri" w:eastAsia="Calibri" w:hAnsi="Calibri" w:cs="Calibri"/>
          <w:lang w:val="en-US"/>
        </w:rPr>
        <w:t>Metavir</w:t>
      </w:r>
      <w:r w:rsidRPr="00ED536B">
        <w:rPr>
          <w:rFonts w:ascii="Calibri" w:eastAsia="Calibri" w:hAnsi="Calibri" w:cs="Calibri"/>
        </w:rPr>
        <w:t xml:space="preserve">), кто достигает </w:t>
      </w:r>
      <w:r w:rsidRPr="00AF60BF">
        <w:rPr>
          <w:rFonts w:ascii="Calibri" w:eastAsia="Calibri" w:hAnsi="Calibri" w:cs="Calibri"/>
          <w:lang w:val="en-US"/>
        </w:rPr>
        <w:t>SVR</w:t>
      </w:r>
      <w:r w:rsidRPr="00ED536B">
        <w:rPr>
          <w:rFonts w:ascii="Calibri" w:eastAsia="Calibri" w:hAnsi="Calibri" w:cs="Calibri"/>
        </w:rPr>
        <w:t xml:space="preserve">, должны получить стандартную медицинскую помощь, рекомендующуюся для пациентов, никогда не заражавшихся </w:t>
      </w:r>
      <w:r w:rsidRPr="00AF60BF">
        <w:rPr>
          <w:rFonts w:ascii="Calibri" w:eastAsia="Calibri" w:hAnsi="Calibri" w:cs="Calibri"/>
          <w:lang w:val="en-US"/>
        </w:rPr>
        <w:t>HCV</w:t>
      </w:r>
      <w:r w:rsidRPr="00ED536B">
        <w:rPr>
          <w:rFonts w:ascii="Calibri" w:eastAsia="Calibri" w:hAnsi="Calibri" w:cs="Calibri"/>
        </w:rPr>
        <w:t>.</w:t>
      </w:r>
    </w:p>
    <w:p w:rsidR="00ED536B" w:rsidRPr="00ED536B" w:rsidRDefault="00ED536B" w:rsidP="0027624C">
      <w:pPr>
        <w:spacing w:after="247" w:line="262" w:lineRule="auto"/>
        <w:ind w:left="-5" w:right="24" w:hanging="10"/>
      </w:pPr>
      <w:r w:rsidRPr="00ED536B">
        <w:rPr>
          <w:rFonts w:ascii="Calibri" w:eastAsia="Calibri" w:hAnsi="Calibri" w:cs="Calibri"/>
        </w:rPr>
        <w:t xml:space="preserve">Среди пациентов с прогрессирующим фиброзом печени (т.е., стадия </w:t>
      </w:r>
      <w:r w:rsidRPr="00AF60BF">
        <w:rPr>
          <w:rFonts w:ascii="Calibri" w:eastAsia="Calibri" w:hAnsi="Calibri" w:cs="Calibri"/>
          <w:lang w:val="en-US"/>
        </w:rPr>
        <w:t>F</w:t>
      </w:r>
      <w:r w:rsidRPr="00ED536B">
        <w:rPr>
          <w:rFonts w:ascii="Calibri" w:eastAsia="Calibri" w:hAnsi="Calibri" w:cs="Calibri"/>
        </w:rPr>
        <w:t xml:space="preserve">3 или </w:t>
      </w:r>
      <w:r w:rsidRPr="00AF60BF">
        <w:rPr>
          <w:rFonts w:ascii="Calibri" w:eastAsia="Calibri" w:hAnsi="Calibri" w:cs="Calibri"/>
          <w:lang w:val="en-US"/>
        </w:rPr>
        <w:t>F</w:t>
      </w:r>
      <w:r w:rsidRPr="00ED536B">
        <w:rPr>
          <w:rFonts w:ascii="Calibri" w:eastAsia="Calibri" w:hAnsi="Calibri" w:cs="Calibri"/>
        </w:rPr>
        <w:t xml:space="preserve">4 </w:t>
      </w:r>
      <w:r w:rsidRPr="00AF60BF">
        <w:rPr>
          <w:rFonts w:ascii="Calibri" w:eastAsia="Calibri" w:hAnsi="Calibri" w:cs="Calibri"/>
          <w:lang w:val="en-US"/>
        </w:rPr>
        <w:t>Metavir</w:t>
      </w:r>
      <w:r w:rsidRPr="00ED536B">
        <w:rPr>
          <w:rFonts w:ascii="Calibri" w:eastAsia="Calibri" w:hAnsi="Calibri" w:cs="Calibri"/>
        </w:rPr>
        <w:t xml:space="preserve">), кто достигает </w:t>
      </w:r>
      <w:r w:rsidRPr="00AF60BF">
        <w:rPr>
          <w:rFonts w:ascii="Calibri" w:eastAsia="Calibri" w:hAnsi="Calibri" w:cs="Calibri"/>
          <w:lang w:val="en-US"/>
        </w:rPr>
        <w:t>SVR</w:t>
      </w:r>
      <w:r w:rsidRPr="00ED536B">
        <w:rPr>
          <w:rFonts w:ascii="Calibri" w:eastAsia="Calibri" w:hAnsi="Calibri" w:cs="Calibri"/>
        </w:rPr>
        <w:t>, декомпенсированное заболевание печени (за исключением гепатоцеллюлярного рака) редко развивается во время наблюдения, и полное выживание продлено. (</w:t>
      </w:r>
      <w:hyperlink r:id="rId37" w:anchor="morisco2013">
        <w:r w:rsidRPr="00AF60BF">
          <w:rPr>
            <w:rFonts w:ascii="Calibri" w:eastAsia="Calibri" w:hAnsi="Calibri" w:cs="Calibri"/>
            <w:color w:val="0000FF"/>
            <w:u w:val="single" w:color="0000FF"/>
            <w:lang w:val="en-US"/>
          </w:rPr>
          <w:t>Morisco</w:t>
        </w:r>
        <w:r w:rsidRPr="00ED536B">
          <w:rPr>
            <w:rFonts w:ascii="Calibri" w:eastAsia="Calibri" w:hAnsi="Calibri" w:cs="Calibri"/>
            <w:color w:val="0000FF"/>
            <w:u w:val="single" w:color="0000FF"/>
          </w:rPr>
          <w:t>, 2013 [19]</w:t>
        </w:r>
      </w:hyperlink>
      <w:r w:rsidRPr="00ED536B">
        <w:rPr>
          <w:rFonts w:ascii="Calibri" w:eastAsia="Calibri" w:hAnsi="Calibri" w:cs="Calibri"/>
        </w:rPr>
        <w:t>); (</w:t>
      </w:r>
      <w:hyperlink r:id="rId38" w:anchor="morgan2010">
        <w:r w:rsidRPr="00ED536B">
          <w:rPr>
            <w:rFonts w:ascii="Calibri" w:eastAsia="Calibri" w:hAnsi="Calibri" w:cs="Calibri"/>
            <w:color w:val="0000FF"/>
            <w:u w:val="single" w:color="0000FF"/>
          </w:rPr>
          <w:t>Морган, 2010 [20]</w:t>
        </w:r>
      </w:hyperlink>
      <w:r w:rsidRPr="00ED536B">
        <w:rPr>
          <w:rFonts w:ascii="Calibri" w:eastAsia="Calibri" w:hAnsi="Calibri" w:cs="Calibri"/>
        </w:rPr>
        <w:t>); (</w:t>
      </w:r>
      <w:hyperlink r:id="rId39" w:anchor="george2009">
        <w:r w:rsidRPr="00ED536B">
          <w:rPr>
            <w:rFonts w:ascii="Calibri" w:eastAsia="Calibri" w:hAnsi="Calibri" w:cs="Calibri"/>
            <w:color w:val="0000FF"/>
            <w:u w:val="single" w:color="0000FF"/>
          </w:rPr>
          <w:t>Джордж, 2009 [21]</w:t>
        </w:r>
      </w:hyperlink>
      <w:r w:rsidRPr="00ED536B">
        <w:rPr>
          <w:rFonts w:ascii="Calibri" w:eastAsia="Calibri" w:hAnsi="Calibri" w:cs="Calibri"/>
        </w:rPr>
        <w:t>); (</w:t>
      </w:r>
      <w:hyperlink r:id="rId40" w:anchor="morgan2013">
        <w:r w:rsidRPr="00ED536B">
          <w:rPr>
            <w:rFonts w:ascii="Calibri" w:eastAsia="Calibri" w:hAnsi="Calibri" w:cs="Calibri"/>
            <w:color w:val="0000FF"/>
            <w:u w:val="single" w:color="0000FF"/>
          </w:rPr>
          <w:t>Морган, 2013 [22]</w:t>
        </w:r>
      </w:hyperlink>
      <w:r w:rsidRPr="00ED536B">
        <w:rPr>
          <w:rFonts w:ascii="Calibri" w:eastAsia="Calibri" w:hAnsi="Calibri" w:cs="Calibri"/>
        </w:rPr>
        <w:t>); (</w:t>
      </w:r>
      <w:hyperlink r:id="rId41" w:anchor="singal2010">
        <w:r w:rsidRPr="00AF60BF">
          <w:rPr>
            <w:rFonts w:ascii="Calibri" w:eastAsia="Calibri" w:hAnsi="Calibri" w:cs="Calibri"/>
            <w:color w:val="0000FF"/>
            <w:u w:val="single" w:color="0000FF"/>
            <w:lang w:val="en-US"/>
          </w:rPr>
          <w:t>Singal</w:t>
        </w:r>
        <w:r w:rsidRPr="00ED536B">
          <w:rPr>
            <w:rFonts w:ascii="Calibri" w:eastAsia="Calibri" w:hAnsi="Calibri" w:cs="Calibri"/>
            <w:color w:val="0000FF"/>
            <w:u w:val="single" w:color="0000FF"/>
          </w:rPr>
          <w:t>, 2010 [23]</w:t>
        </w:r>
      </w:hyperlink>
      <w:r w:rsidRPr="00ED536B">
        <w:rPr>
          <w:rFonts w:ascii="Calibri" w:eastAsia="Calibri" w:hAnsi="Calibri" w:cs="Calibri"/>
        </w:rPr>
        <w:t xml:space="preserve">) Пациенты, продвинувшие фиброз или цирроз, продолжают находиться в опасности для развития гепатоцеллюлярного рака после достижения </w:t>
      </w:r>
      <w:r w:rsidRPr="00AF60BF">
        <w:rPr>
          <w:rFonts w:ascii="Calibri" w:eastAsia="Calibri" w:hAnsi="Calibri" w:cs="Calibri"/>
          <w:lang w:val="en-US"/>
        </w:rPr>
        <w:t>SVR</w:t>
      </w:r>
      <w:r w:rsidRPr="00ED536B">
        <w:rPr>
          <w:rFonts w:ascii="Calibri" w:eastAsia="Calibri" w:hAnsi="Calibri" w:cs="Calibri"/>
        </w:rPr>
        <w:t>, несмотря на то, что риск в этих пациентах ниже, чем риск в постоянно виремических пациентах. (</w:t>
      </w:r>
      <w:hyperlink r:id="rId42" w:anchor="morisco2013">
        <w:r w:rsidRPr="00AF60BF">
          <w:rPr>
            <w:rFonts w:ascii="Calibri" w:eastAsia="Calibri" w:hAnsi="Calibri" w:cs="Calibri"/>
            <w:color w:val="0000FF"/>
            <w:u w:val="single" w:color="0000FF"/>
            <w:lang w:val="en-US"/>
          </w:rPr>
          <w:t>Morisco</w:t>
        </w:r>
        <w:r w:rsidRPr="00ED536B">
          <w:rPr>
            <w:rFonts w:ascii="Calibri" w:eastAsia="Calibri" w:hAnsi="Calibri" w:cs="Calibri"/>
            <w:color w:val="0000FF"/>
            <w:u w:val="single" w:color="0000FF"/>
          </w:rPr>
          <w:t>, 2013 [19]</w:t>
        </w:r>
      </w:hyperlink>
      <w:r w:rsidRPr="00ED536B">
        <w:rPr>
          <w:rFonts w:ascii="Calibri" w:eastAsia="Calibri" w:hAnsi="Calibri" w:cs="Calibri"/>
        </w:rPr>
        <w:t>); (</w:t>
      </w:r>
      <w:hyperlink r:id="rId43" w:anchor="morgan2010">
        <w:r w:rsidRPr="00ED536B">
          <w:rPr>
            <w:rFonts w:ascii="Calibri" w:eastAsia="Calibri" w:hAnsi="Calibri" w:cs="Calibri"/>
            <w:color w:val="0000FF"/>
            <w:u w:val="single" w:color="0000FF"/>
          </w:rPr>
          <w:t>Морган, 2010 [20]</w:t>
        </w:r>
      </w:hyperlink>
      <w:r w:rsidRPr="00ED536B">
        <w:rPr>
          <w:rFonts w:ascii="Calibri" w:eastAsia="Calibri" w:hAnsi="Calibri" w:cs="Calibri"/>
        </w:rPr>
        <w:t>); (</w:t>
      </w:r>
      <w:hyperlink r:id="rId44" w:anchor="george2009">
        <w:r w:rsidRPr="00ED536B">
          <w:rPr>
            <w:rFonts w:ascii="Calibri" w:eastAsia="Calibri" w:hAnsi="Calibri" w:cs="Calibri"/>
            <w:color w:val="0000FF"/>
            <w:u w:val="single" w:color="0000FF"/>
          </w:rPr>
          <w:t>Джордж, 2009 [21]</w:t>
        </w:r>
      </w:hyperlink>
      <w:r w:rsidRPr="00ED536B">
        <w:rPr>
          <w:rFonts w:ascii="Calibri" w:eastAsia="Calibri" w:hAnsi="Calibri" w:cs="Calibri"/>
        </w:rPr>
        <w:t>); (</w:t>
      </w:r>
      <w:hyperlink r:id="rId45" w:anchor="morgan2013">
        <w:r w:rsidRPr="00ED536B">
          <w:rPr>
            <w:rFonts w:ascii="Calibri" w:eastAsia="Calibri" w:hAnsi="Calibri" w:cs="Calibri"/>
            <w:color w:val="0000FF"/>
            <w:u w:val="single" w:color="0000FF"/>
          </w:rPr>
          <w:t>Морган, 2013 [22]</w:t>
        </w:r>
      </w:hyperlink>
      <w:r w:rsidRPr="00ED536B">
        <w:rPr>
          <w:rFonts w:ascii="Calibri" w:eastAsia="Calibri" w:hAnsi="Calibri" w:cs="Calibri"/>
        </w:rPr>
        <w:t>); (</w:t>
      </w:r>
      <w:hyperlink r:id="rId46" w:anchor="singal2010">
        <w:r w:rsidRPr="00AF60BF">
          <w:rPr>
            <w:rFonts w:ascii="Calibri" w:eastAsia="Calibri" w:hAnsi="Calibri" w:cs="Calibri"/>
            <w:color w:val="0000FF"/>
            <w:u w:val="single" w:color="0000FF"/>
            <w:lang w:val="en-US"/>
          </w:rPr>
          <w:t>Singal</w:t>
        </w:r>
        <w:r w:rsidRPr="00ED536B">
          <w:rPr>
            <w:rFonts w:ascii="Calibri" w:eastAsia="Calibri" w:hAnsi="Calibri" w:cs="Calibri"/>
            <w:color w:val="0000FF"/>
            <w:u w:val="single" w:color="0000FF"/>
          </w:rPr>
          <w:t>, 2010 [23]</w:t>
        </w:r>
      </w:hyperlink>
      <w:r w:rsidRPr="00ED536B">
        <w:rPr>
          <w:rFonts w:ascii="Calibri" w:eastAsia="Calibri" w:hAnsi="Calibri" w:cs="Calibri"/>
        </w:rPr>
        <w:t xml:space="preserve">), Пациенты с циррозом, достигающие опыта </w:t>
      </w:r>
      <w:r w:rsidRPr="00AF60BF">
        <w:rPr>
          <w:rFonts w:ascii="Calibri" w:eastAsia="Calibri" w:hAnsi="Calibri" w:cs="Calibri"/>
          <w:lang w:val="en-US"/>
        </w:rPr>
        <w:t>SVR</w:t>
      </w:r>
      <w:r w:rsidRPr="00ED536B">
        <w:rPr>
          <w:rFonts w:ascii="Calibri" w:eastAsia="Calibri" w:hAnsi="Calibri" w:cs="Calibri"/>
        </w:rPr>
        <w:t xml:space="preserve"> увеличенное выживание (по сравнению с пациентами с циррозом, которые являются невылеченными или в ком терпит неудачу лечение), но все еще может быть в некотором риске для гепатоцеллюлярного рака; таким образом они должны продолжать переносить регулярное наблюдение для гепатоцеллюлярного рака несмотря на пониженный риск, заканчивающийся после вирусного уничтожения. (</w:t>
      </w:r>
      <w:hyperlink r:id="rId47" w:anchor="bruix2011">
        <w:r w:rsidRPr="00AF60BF">
          <w:rPr>
            <w:rFonts w:ascii="Calibri" w:eastAsia="Calibri" w:hAnsi="Calibri" w:cs="Calibri"/>
            <w:color w:val="0000FF"/>
            <w:u w:val="single" w:color="0000FF"/>
            <w:lang w:val="en-US"/>
          </w:rPr>
          <w:t>Bruix</w:t>
        </w:r>
        <w:r w:rsidRPr="00ED536B">
          <w:rPr>
            <w:rFonts w:ascii="Calibri" w:eastAsia="Calibri" w:hAnsi="Calibri" w:cs="Calibri"/>
            <w:color w:val="0000FF"/>
            <w:u w:val="single" w:color="0000FF"/>
          </w:rPr>
          <w:t>, 2011 [24]</w:t>
        </w:r>
      </w:hyperlink>
      <w:r w:rsidRPr="00ED536B">
        <w:rPr>
          <w:rFonts w:ascii="Calibri" w:eastAsia="Calibri" w:hAnsi="Calibri" w:cs="Calibri"/>
        </w:rPr>
        <w:t>), риск гепатоцеллюлярного рака среди пациентов с прогрессирующим фиброзом до лечения, но у кого есть регресс к минимальному фиброзу после лечения, не известен. В отсутствие данных наоборот, такие пациенты остаются в некотором риске для гепатоцеллюлярного рака и должны быть проверены равномерно для гепатоцеллюлярного рака.</w:t>
      </w:r>
    </w:p>
    <w:p w:rsidR="00ED536B" w:rsidRPr="00ED536B" w:rsidRDefault="00ED536B" w:rsidP="0027624C">
      <w:pPr>
        <w:spacing w:after="7" w:line="262" w:lineRule="auto"/>
        <w:ind w:left="-5" w:right="24" w:hanging="10"/>
      </w:pPr>
      <w:r w:rsidRPr="00ED536B">
        <w:rPr>
          <w:rFonts w:ascii="Calibri" w:eastAsia="Calibri" w:hAnsi="Calibri" w:cs="Calibri"/>
        </w:rPr>
        <w:t xml:space="preserve">Фиброз печени и результаты испытаний функции печени улучшаются в большинстве пациентов, достигающих </w:t>
      </w:r>
      <w:r w:rsidRPr="00AF60BF">
        <w:rPr>
          <w:rFonts w:ascii="Calibri" w:eastAsia="Calibri" w:hAnsi="Calibri" w:cs="Calibri"/>
          <w:lang w:val="en-US"/>
        </w:rPr>
        <w:t>SVR</w:t>
      </w:r>
      <w:r w:rsidRPr="00ED536B">
        <w:rPr>
          <w:rFonts w:ascii="Calibri" w:eastAsia="Calibri" w:hAnsi="Calibri" w:cs="Calibri"/>
        </w:rPr>
        <w:t>. (</w:t>
      </w:r>
      <w:hyperlink r:id="rId48" w:anchor="morisco2013">
        <w:r w:rsidRPr="00AF60BF">
          <w:rPr>
            <w:rFonts w:ascii="Calibri" w:eastAsia="Calibri" w:hAnsi="Calibri" w:cs="Calibri"/>
            <w:color w:val="0000FF"/>
            <w:u w:val="single" w:color="0000FF"/>
            <w:lang w:val="en-US"/>
          </w:rPr>
          <w:t>Morisco</w:t>
        </w:r>
        <w:r w:rsidRPr="00ED536B">
          <w:rPr>
            <w:rFonts w:ascii="Calibri" w:eastAsia="Calibri" w:hAnsi="Calibri" w:cs="Calibri"/>
            <w:color w:val="0000FF"/>
            <w:u w:val="single" w:color="0000FF"/>
          </w:rPr>
          <w:t>, 2013</w:t>
        </w:r>
      </w:hyperlink>
    </w:p>
    <w:p w:rsidR="00ED536B" w:rsidRPr="00ED536B" w:rsidRDefault="00ED536B" w:rsidP="0027624C">
      <w:pPr>
        <w:spacing w:after="247" w:line="262" w:lineRule="auto"/>
        <w:ind w:left="-5" w:right="24" w:hanging="10"/>
      </w:pPr>
      <w:r w:rsidRPr="00ED536B">
        <w:rPr>
          <w:rFonts w:ascii="Calibri" w:eastAsia="Calibri" w:hAnsi="Calibri" w:cs="Calibri"/>
          <w:sz w:val="15"/>
        </w:rPr>
        <w:t>[19]</w:t>
      </w:r>
      <w:r w:rsidRPr="00ED536B">
        <w:rPr>
          <w:rFonts w:ascii="Calibri" w:eastAsia="Calibri" w:hAnsi="Calibri" w:cs="Calibri"/>
        </w:rPr>
        <w:t>); (</w:t>
      </w:r>
      <w:hyperlink r:id="rId49" w:anchor="morgan2010">
        <w:r w:rsidRPr="00ED536B">
          <w:rPr>
            <w:rFonts w:ascii="Calibri" w:eastAsia="Calibri" w:hAnsi="Calibri" w:cs="Calibri"/>
            <w:color w:val="0000FF"/>
            <w:u w:val="single" w:color="0000FF"/>
          </w:rPr>
          <w:t>Морган, 2010 [20]</w:t>
        </w:r>
      </w:hyperlink>
      <w:r w:rsidRPr="00ED536B">
        <w:rPr>
          <w:rFonts w:ascii="Calibri" w:eastAsia="Calibri" w:hAnsi="Calibri" w:cs="Calibri"/>
        </w:rPr>
        <w:t>); (</w:t>
      </w:r>
      <w:hyperlink r:id="rId50" w:anchor="george2009">
        <w:r w:rsidRPr="00ED536B">
          <w:rPr>
            <w:rFonts w:ascii="Calibri" w:eastAsia="Calibri" w:hAnsi="Calibri" w:cs="Calibri"/>
            <w:color w:val="0000FF"/>
            <w:u w:val="single" w:color="0000FF"/>
          </w:rPr>
          <w:t>Джордж, 2009 [21]</w:t>
        </w:r>
      </w:hyperlink>
      <w:r w:rsidRPr="00ED536B">
        <w:rPr>
          <w:rFonts w:ascii="Calibri" w:eastAsia="Calibri" w:hAnsi="Calibri" w:cs="Calibri"/>
        </w:rPr>
        <w:t>); (</w:t>
      </w:r>
      <w:hyperlink r:id="rId51" w:anchor="morgan2013">
        <w:r w:rsidRPr="00ED536B">
          <w:rPr>
            <w:rFonts w:ascii="Calibri" w:eastAsia="Calibri" w:hAnsi="Calibri" w:cs="Calibri"/>
            <w:color w:val="0000FF"/>
            <w:u w:val="single" w:color="0000FF"/>
          </w:rPr>
          <w:t>Морган, 2013 [22]</w:t>
        </w:r>
      </w:hyperlink>
      <w:r w:rsidRPr="00ED536B">
        <w:rPr>
          <w:rFonts w:ascii="Calibri" w:eastAsia="Calibri" w:hAnsi="Calibri" w:cs="Calibri"/>
        </w:rPr>
        <w:t>); (</w:t>
      </w:r>
      <w:hyperlink r:id="rId52" w:anchor="singal2010">
        <w:r w:rsidRPr="00AF60BF">
          <w:rPr>
            <w:rFonts w:ascii="Calibri" w:eastAsia="Calibri" w:hAnsi="Calibri" w:cs="Calibri"/>
            <w:color w:val="0000FF"/>
            <w:u w:val="single" w:color="0000FF"/>
            <w:lang w:val="en-US"/>
          </w:rPr>
          <w:t>Singal</w:t>
        </w:r>
        <w:r w:rsidRPr="00ED536B">
          <w:rPr>
            <w:rFonts w:ascii="Calibri" w:eastAsia="Calibri" w:hAnsi="Calibri" w:cs="Calibri"/>
            <w:color w:val="0000FF"/>
            <w:u w:val="single" w:color="0000FF"/>
          </w:rPr>
          <w:t>, 2010 [23]</w:t>
        </w:r>
      </w:hyperlink>
      <w:r w:rsidRPr="00ED536B">
        <w:rPr>
          <w:rFonts w:ascii="Calibri" w:eastAsia="Calibri" w:hAnsi="Calibri" w:cs="Calibri"/>
        </w:rPr>
        <w:t xml:space="preserve">), Кровоточащий из желудочного варикоза редко после </w:t>
      </w:r>
      <w:r w:rsidRPr="00AF60BF">
        <w:rPr>
          <w:rFonts w:ascii="Calibri" w:eastAsia="Calibri" w:hAnsi="Calibri" w:cs="Calibri"/>
          <w:lang w:val="en-US"/>
        </w:rPr>
        <w:t>SVR</w:t>
      </w:r>
      <w:r w:rsidRPr="00ED536B">
        <w:rPr>
          <w:rFonts w:ascii="Calibri" w:eastAsia="Calibri" w:hAnsi="Calibri" w:cs="Calibri"/>
        </w:rPr>
        <w:t>. (</w:t>
      </w:r>
      <w:hyperlink r:id="rId53" w:anchor="morisco2013">
        <w:r w:rsidRPr="00AF60BF">
          <w:rPr>
            <w:rFonts w:ascii="Calibri" w:eastAsia="Calibri" w:hAnsi="Calibri" w:cs="Calibri"/>
            <w:color w:val="0000FF"/>
            <w:u w:val="single" w:color="0000FF"/>
            <w:lang w:val="en-US"/>
          </w:rPr>
          <w:t>Morisco</w:t>
        </w:r>
        <w:r w:rsidRPr="00ED536B">
          <w:rPr>
            <w:rFonts w:ascii="Calibri" w:eastAsia="Calibri" w:hAnsi="Calibri" w:cs="Calibri"/>
            <w:color w:val="0000FF"/>
            <w:u w:val="single" w:color="0000FF"/>
          </w:rPr>
          <w:t>, 2013 [19]</w:t>
        </w:r>
      </w:hyperlink>
      <w:r w:rsidRPr="00ED536B">
        <w:rPr>
          <w:rFonts w:ascii="Calibri" w:eastAsia="Calibri" w:hAnsi="Calibri" w:cs="Calibri"/>
        </w:rPr>
        <w:t>); (</w:t>
      </w:r>
      <w:hyperlink r:id="rId54" w:anchor="morgan2010">
        <w:r w:rsidRPr="00ED536B">
          <w:rPr>
            <w:rFonts w:ascii="Calibri" w:eastAsia="Calibri" w:hAnsi="Calibri" w:cs="Calibri"/>
            <w:color w:val="0000FF"/>
            <w:u w:val="single" w:color="0000FF"/>
          </w:rPr>
          <w:t>Морган, 2010 [20]</w:t>
        </w:r>
      </w:hyperlink>
      <w:r w:rsidRPr="00ED536B">
        <w:rPr>
          <w:rFonts w:ascii="Calibri" w:eastAsia="Calibri" w:hAnsi="Calibri" w:cs="Calibri"/>
        </w:rPr>
        <w:t>); (</w:t>
      </w:r>
      <w:hyperlink r:id="rId55" w:anchor="george2009">
        <w:r w:rsidRPr="00ED536B">
          <w:rPr>
            <w:rFonts w:ascii="Calibri" w:eastAsia="Calibri" w:hAnsi="Calibri" w:cs="Calibri"/>
            <w:color w:val="0000FF"/>
            <w:u w:val="single" w:color="0000FF"/>
          </w:rPr>
          <w:t>Джордж, 2009 [21]</w:t>
        </w:r>
      </w:hyperlink>
      <w:r w:rsidRPr="00ED536B">
        <w:rPr>
          <w:rFonts w:ascii="Calibri" w:eastAsia="Calibri" w:hAnsi="Calibri" w:cs="Calibri"/>
        </w:rPr>
        <w:t>); (</w:t>
      </w:r>
      <w:hyperlink r:id="rId56" w:anchor="morgan2013">
        <w:r w:rsidRPr="00ED536B">
          <w:rPr>
            <w:rFonts w:ascii="Calibri" w:eastAsia="Calibri" w:hAnsi="Calibri" w:cs="Calibri"/>
            <w:color w:val="0000FF"/>
            <w:u w:val="single" w:color="0000FF"/>
          </w:rPr>
          <w:t>Морган, 2013 [22]</w:t>
        </w:r>
      </w:hyperlink>
      <w:r w:rsidRPr="00ED536B">
        <w:rPr>
          <w:rFonts w:ascii="Calibri" w:eastAsia="Calibri" w:hAnsi="Calibri" w:cs="Calibri"/>
        </w:rPr>
        <w:t>); (</w:t>
      </w:r>
      <w:hyperlink r:id="rId57" w:anchor="singal2010">
        <w:r w:rsidRPr="00AF60BF">
          <w:rPr>
            <w:rFonts w:ascii="Calibri" w:eastAsia="Calibri" w:hAnsi="Calibri" w:cs="Calibri"/>
            <w:color w:val="0000FF"/>
            <w:u w:val="single" w:color="0000FF"/>
            <w:lang w:val="en-US"/>
          </w:rPr>
          <w:t>Singal</w:t>
        </w:r>
        <w:r w:rsidRPr="00ED536B">
          <w:rPr>
            <w:rFonts w:ascii="Calibri" w:eastAsia="Calibri" w:hAnsi="Calibri" w:cs="Calibri"/>
            <w:color w:val="0000FF"/>
            <w:u w:val="single" w:color="0000FF"/>
          </w:rPr>
          <w:t>, 2010 [23]</w:t>
        </w:r>
      </w:hyperlink>
      <w:r w:rsidRPr="00ED536B">
        <w:rPr>
          <w:rFonts w:ascii="Calibri" w:eastAsia="Calibri" w:hAnsi="Calibri" w:cs="Calibri"/>
        </w:rPr>
        <w:t>) Пациенты с циррозом должны получить обычную эндоскопию наблюдения для диагностики желудочного варикоза, если не ранее сделанный и они должны лечиться или контролироваться, как обозначено. (</w:t>
      </w:r>
      <w:hyperlink r:id="rId58" w:anchor="garcia-tsao2007">
        <w:r w:rsidRPr="00ED536B">
          <w:rPr>
            <w:rFonts w:ascii="Calibri" w:eastAsia="Calibri" w:hAnsi="Calibri" w:cs="Calibri"/>
            <w:color w:val="0000FF"/>
            <w:u w:val="single" w:color="0000FF"/>
          </w:rPr>
          <w:t>Гарсия-Цао, 2007 [25]</w:t>
        </w:r>
      </w:hyperlink>
      <w:r w:rsidRPr="00ED536B">
        <w:rPr>
          <w:rFonts w:ascii="Calibri" w:eastAsia="Calibri" w:hAnsi="Calibri" w:cs="Calibri"/>
        </w:rPr>
        <w:t>)</w:t>
      </w:r>
    </w:p>
    <w:p w:rsidR="00ED536B" w:rsidRPr="00ED536B" w:rsidRDefault="00ED536B" w:rsidP="0027624C">
      <w:pPr>
        <w:spacing w:after="247" w:line="262" w:lineRule="auto"/>
        <w:ind w:left="-5" w:right="24" w:hanging="10"/>
      </w:pPr>
      <w:r w:rsidRPr="00ED536B">
        <w:rPr>
          <w:rFonts w:ascii="Calibri" w:eastAsia="Calibri" w:hAnsi="Calibri" w:cs="Calibri"/>
        </w:rPr>
        <w:t xml:space="preserve">Пациенты, в которых достигается </w:t>
      </w:r>
      <w:r w:rsidRPr="00AF60BF">
        <w:rPr>
          <w:rFonts w:ascii="Calibri" w:eastAsia="Calibri" w:hAnsi="Calibri" w:cs="Calibri"/>
          <w:lang w:val="en-US"/>
        </w:rPr>
        <w:t>SVR</w:t>
      </w:r>
      <w:r w:rsidRPr="00ED536B">
        <w:rPr>
          <w:rFonts w:ascii="Calibri" w:eastAsia="Calibri" w:hAnsi="Calibri" w:cs="Calibri"/>
        </w:rPr>
        <w:t>, но у кого есть другая потенциальная причина заболевания печени (например, чрезмерное употребление алкоголя, метаболический синдром с или без доказанной болезни ожирения печени или железной перегрузки) остаются опасными для развития фиброза. Рекомендуется, чтобы такие пациенты были образованы о риске заболевания печени и проверены для развития заболевания печени с периодическими медицинскими осмотрами, анализами крови, и потенциально, анализы фиброза печени специалистом по заболеванию печени.</w:t>
      </w:r>
    </w:p>
    <w:p w:rsidR="00ED536B" w:rsidRPr="00ED536B" w:rsidRDefault="00ED536B" w:rsidP="0027624C">
      <w:pPr>
        <w:spacing w:after="727" w:line="262" w:lineRule="auto"/>
        <w:ind w:left="-5" w:right="24" w:hanging="10"/>
      </w:pPr>
      <w:r w:rsidRPr="00ED536B">
        <w:rPr>
          <w:rFonts w:ascii="Calibri" w:eastAsia="Calibri" w:hAnsi="Calibri" w:cs="Calibri"/>
        </w:rPr>
        <w:t xml:space="preserve">Периодически тестирование пациентов с продолжающимся риском для инфекции </w:t>
      </w:r>
      <w:r w:rsidRPr="00AF60BF">
        <w:rPr>
          <w:rFonts w:ascii="Calibri" w:eastAsia="Calibri" w:hAnsi="Calibri" w:cs="Calibri"/>
          <w:lang w:val="en-US"/>
        </w:rPr>
        <w:t>HCV</w:t>
      </w:r>
      <w:r w:rsidRPr="00ED536B">
        <w:rPr>
          <w:rFonts w:ascii="Calibri" w:eastAsia="Calibri" w:hAnsi="Calibri" w:cs="Calibri"/>
        </w:rPr>
        <w:t xml:space="preserve"> (например, незаконное употребление наркотиков, рискованное половое выделение) для повторной инфекции </w:t>
      </w:r>
      <w:r w:rsidRPr="00AF60BF">
        <w:rPr>
          <w:rFonts w:ascii="Calibri" w:eastAsia="Calibri" w:hAnsi="Calibri" w:cs="Calibri"/>
          <w:lang w:val="en-US"/>
        </w:rPr>
        <w:t>HCV</w:t>
      </w:r>
      <w:r w:rsidRPr="00ED536B">
        <w:rPr>
          <w:rFonts w:ascii="Calibri" w:eastAsia="Calibri" w:hAnsi="Calibri" w:cs="Calibri"/>
        </w:rPr>
        <w:t xml:space="preserve"> рекомендуется. Приливы крови к лицу в результатах испытаний фермента печени должны вызвать оценку возможных </w:t>
      </w:r>
      <w:r w:rsidRPr="00AF60BF">
        <w:rPr>
          <w:rFonts w:ascii="Calibri" w:eastAsia="Calibri" w:hAnsi="Calibri" w:cs="Calibri"/>
          <w:lang w:val="en-US"/>
        </w:rPr>
        <w:t>de</w:t>
      </w:r>
      <w:r w:rsidRPr="00ED536B">
        <w:rPr>
          <w:rFonts w:ascii="Calibri" w:eastAsia="Calibri" w:hAnsi="Calibri" w:cs="Calibri"/>
        </w:rPr>
        <w:t xml:space="preserve"> </w:t>
      </w:r>
      <w:r w:rsidRPr="00AF60BF">
        <w:rPr>
          <w:rFonts w:ascii="Calibri" w:eastAsia="Calibri" w:hAnsi="Calibri" w:cs="Calibri"/>
          <w:lang w:val="en-US"/>
        </w:rPr>
        <w:t>novo</w:t>
      </w:r>
      <w:r w:rsidRPr="00ED536B">
        <w:rPr>
          <w:rFonts w:ascii="Calibri" w:eastAsia="Calibri" w:hAnsi="Calibri" w:cs="Calibri"/>
        </w:rPr>
        <w:t xml:space="preserve"> повторная инфекция с </w:t>
      </w:r>
      <w:r w:rsidRPr="00AF60BF">
        <w:rPr>
          <w:rFonts w:ascii="Calibri" w:eastAsia="Calibri" w:hAnsi="Calibri" w:cs="Calibri"/>
          <w:lang w:val="en-US"/>
        </w:rPr>
        <w:t>HCV</w:t>
      </w:r>
      <w:r w:rsidRPr="00ED536B">
        <w:rPr>
          <w:rFonts w:ascii="Calibri" w:eastAsia="Calibri" w:hAnsi="Calibri" w:cs="Calibri"/>
        </w:rPr>
        <w:t xml:space="preserve"> посредством нового выделения (см. </w:t>
      </w:r>
      <w:hyperlink r:id="rId59">
        <w:r w:rsidRPr="00ED536B">
          <w:rPr>
            <w:rFonts w:ascii="Calibri" w:eastAsia="Calibri" w:hAnsi="Calibri" w:cs="Calibri"/>
            <w:b/>
            <w:color w:val="0000FF"/>
            <w:u w:val="single" w:color="0000FF"/>
          </w:rPr>
          <w:t xml:space="preserve">лечение </w:t>
        </w:r>
      </w:hyperlink>
      <w:hyperlink r:id="rId60">
        <w:r w:rsidRPr="00ED536B">
          <w:rPr>
            <w:rFonts w:ascii="Calibri" w:eastAsia="Calibri" w:hAnsi="Calibri" w:cs="Calibri"/>
            <w:b/>
            <w:color w:val="0000FF"/>
            <w:u w:val="single" w:color="0000FF"/>
          </w:rPr>
          <w:t xml:space="preserve">Острой Инфекции </w:t>
        </w:r>
        <w:r w:rsidRPr="00AF60BF">
          <w:rPr>
            <w:rFonts w:ascii="Calibri" w:eastAsia="Calibri" w:hAnsi="Calibri" w:cs="Calibri"/>
            <w:b/>
            <w:color w:val="0000FF"/>
            <w:u w:val="single" w:color="0000FF"/>
            <w:lang w:val="en-US"/>
          </w:rPr>
          <w:t>HCV</w:t>
        </w:r>
      </w:hyperlink>
      <w:r w:rsidRPr="00ED536B">
        <w:rPr>
          <w:rFonts w:ascii="Calibri" w:eastAsia="Calibri" w:hAnsi="Calibri" w:cs="Calibri"/>
        </w:rPr>
        <w:t xml:space="preserve"> </w:t>
      </w:r>
      <w:r w:rsidRPr="00ED536B">
        <w:rPr>
          <w:rFonts w:ascii="Calibri" w:eastAsia="Calibri" w:hAnsi="Calibri" w:cs="Calibri"/>
          <w:sz w:val="15"/>
        </w:rPr>
        <w:t>[26]</w:t>
      </w:r>
      <w:r w:rsidRPr="00ED536B">
        <w:rPr>
          <w:rFonts w:ascii="Calibri" w:eastAsia="Calibri" w:hAnsi="Calibri" w:cs="Calibri"/>
        </w:rPr>
        <w:t xml:space="preserve">). Антитело к </w:t>
      </w:r>
      <w:r w:rsidRPr="00AF60BF">
        <w:rPr>
          <w:rFonts w:ascii="Calibri" w:eastAsia="Calibri" w:hAnsi="Calibri" w:cs="Calibri"/>
          <w:lang w:val="en-US"/>
        </w:rPr>
        <w:t>HCV</w:t>
      </w:r>
      <w:r w:rsidRPr="00ED536B">
        <w:rPr>
          <w:rFonts w:ascii="Calibri" w:eastAsia="Calibri" w:hAnsi="Calibri" w:cs="Calibri"/>
        </w:rPr>
        <w:t xml:space="preserve"> (</w:t>
      </w:r>
      <w:r w:rsidRPr="00AF60BF">
        <w:rPr>
          <w:rFonts w:ascii="Calibri" w:eastAsia="Calibri" w:hAnsi="Calibri" w:cs="Calibri"/>
          <w:lang w:val="en-US"/>
        </w:rPr>
        <w:t>anti</w:t>
      </w:r>
      <w:r w:rsidRPr="00ED536B">
        <w:rPr>
          <w:rFonts w:ascii="Calibri" w:eastAsia="Calibri" w:hAnsi="Calibri" w:cs="Calibri"/>
        </w:rPr>
        <w:t>-</w:t>
      </w:r>
      <w:r w:rsidRPr="00AF60BF">
        <w:rPr>
          <w:rFonts w:ascii="Calibri" w:eastAsia="Calibri" w:hAnsi="Calibri" w:cs="Calibri"/>
          <w:lang w:val="en-US"/>
        </w:rPr>
        <w:t>HCV</w:t>
      </w:r>
      <w:r w:rsidRPr="00ED536B">
        <w:rPr>
          <w:rFonts w:ascii="Calibri" w:eastAsia="Calibri" w:hAnsi="Calibri" w:cs="Calibri"/>
        </w:rPr>
        <w:t xml:space="preserve">) остается положительным в большинстве пациентов после </w:t>
      </w:r>
      <w:r w:rsidRPr="00AF60BF">
        <w:rPr>
          <w:rFonts w:ascii="Calibri" w:eastAsia="Calibri" w:hAnsi="Calibri" w:cs="Calibri"/>
          <w:lang w:val="en-US"/>
        </w:rPr>
        <w:t>SVR</w:t>
      </w:r>
      <w:r w:rsidRPr="00ED536B">
        <w:rPr>
          <w:rFonts w:ascii="Calibri" w:eastAsia="Calibri" w:hAnsi="Calibri" w:cs="Calibri"/>
        </w:rPr>
        <w:t xml:space="preserve">. Таким образом тестирование на повторную инфекцию с </w:t>
      </w:r>
      <w:r w:rsidRPr="00AF60BF">
        <w:rPr>
          <w:rFonts w:ascii="Calibri" w:eastAsia="Calibri" w:hAnsi="Calibri" w:cs="Calibri"/>
          <w:lang w:val="en-US"/>
        </w:rPr>
        <w:t>HCV</w:t>
      </w:r>
      <w:r w:rsidRPr="00ED536B">
        <w:rPr>
          <w:rFonts w:ascii="Calibri" w:eastAsia="Calibri" w:hAnsi="Calibri" w:cs="Calibri"/>
        </w:rPr>
        <w:t xml:space="preserve"> рекомендуется и должно быть выполнено с пробой, обнаруживающей РНК </w:t>
      </w:r>
      <w:r w:rsidRPr="00AF60BF">
        <w:rPr>
          <w:rFonts w:ascii="Calibri" w:eastAsia="Calibri" w:hAnsi="Calibri" w:cs="Calibri"/>
          <w:lang w:val="en-US"/>
        </w:rPr>
        <w:t>HCV</w:t>
      </w:r>
      <w:r w:rsidRPr="00ED536B">
        <w:rPr>
          <w:rFonts w:ascii="Calibri" w:eastAsia="Calibri" w:hAnsi="Calibri" w:cs="Calibri"/>
        </w:rPr>
        <w:t xml:space="preserve"> (например, количественный анализ РНК </w:t>
      </w:r>
      <w:r w:rsidRPr="00AF60BF">
        <w:rPr>
          <w:rFonts w:ascii="Calibri" w:eastAsia="Calibri" w:hAnsi="Calibri" w:cs="Calibri"/>
          <w:lang w:val="en-US"/>
        </w:rPr>
        <w:t>HCV</w:t>
      </w:r>
      <w:r w:rsidRPr="00ED536B">
        <w:rPr>
          <w:rFonts w:ascii="Calibri" w:eastAsia="Calibri" w:hAnsi="Calibri" w:cs="Calibri"/>
        </w:rPr>
        <w:t>).</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145" w:line="260" w:lineRule="auto"/>
        <w:ind w:left="260" w:right="231" w:hanging="10"/>
      </w:pPr>
      <w:r w:rsidRPr="00ED536B">
        <w:rPr>
          <w:rFonts w:ascii="Calibri" w:eastAsia="Calibri" w:hAnsi="Calibri" w:cs="Calibri"/>
          <w:b/>
          <w:i/>
          <w:sz w:val="24"/>
        </w:rPr>
        <w:t xml:space="preserve">Контроль для </w:t>
      </w:r>
      <w:r w:rsidRPr="00AF60BF">
        <w:rPr>
          <w:rFonts w:ascii="Calibri" w:eastAsia="Calibri" w:hAnsi="Calibri" w:cs="Calibri"/>
          <w:b/>
          <w:i/>
          <w:sz w:val="24"/>
          <w:lang w:val="en-US"/>
        </w:rPr>
        <w:t>HCV</w:t>
      </w:r>
      <w:r w:rsidRPr="00ED536B">
        <w:rPr>
          <w:rFonts w:ascii="Calibri" w:eastAsia="Calibri" w:hAnsi="Calibri" w:cs="Calibri"/>
          <w:b/>
          <w:i/>
          <w:sz w:val="24"/>
        </w:rPr>
        <w:t xml:space="preserve"> во время химиотерапии и иммунодепрессии.</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87" w:line="261" w:lineRule="auto"/>
        <w:ind w:left="260" w:right="231" w:hanging="10"/>
      </w:pPr>
      <w:r w:rsidRPr="00ED536B">
        <w:rPr>
          <w:rFonts w:ascii="Calibri" w:eastAsia="Calibri" w:hAnsi="Calibri" w:cs="Calibri"/>
          <w:b/>
          <w:color w:val="B20000"/>
          <w:sz w:val="26"/>
        </w:rPr>
        <w:t xml:space="preserve">Проспективный контроль для рецидива </w:t>
      </w:r>
      <w:r w:rsidRPr="00AF60BF">
        <w:rPr>
          <w:rFonts w:ascii="Calibri" w:eastAsia="Calibri" w:hAnsi="Calibri" w:cs="Calibri"/>
          <w:b/>
          <w:color w:val="B20000"/>
          <w:sz w:val="26"/>
          <w:lang w:val="en-US"/>
        </w:rPr>
        <w:t>HCV</w:t>
      </w:r>
      <w:r w:rsidRPr="00ED536B">
        <w:rPr>
          <w:rFonts w:ascii="Calibri" w:eastAsia="Calibri" w:hAnsi="Calibri" w:cs="Calibri"/>
          <w:b/>
          <w:color w:val="B20000"/>
          <w:sz w:val="26"/>
        </w:rPr>
        <w:t xml:space="preserve"> среди пациентов, достигнувших длительной вирусологической реакции и кто проходит иммуносупрессивное лечение (например, системные кортикостероиды, антиметаболиты, химиотерапия, и т.д.) обычно не рекомендуется.</w:t>
      </w:r>
    </w:p>
    <w:p w:rsidR="00ED536B" w:rsidRPr="00ED536B" w:rsidRDefault="00ED536B" w:rsidP="0027624C">
      <w:pPr>
        <w:pBdr>
          <w:top w:val="single" w:sz="18" w:space="0" w:color="E00000"/>
          <w:left w:val="single" w:sz="18" w:space="0" w:color="E00000"/>
          <w:bottom w:val="single" w:sz="18" w:space="0" w:color="E00000"/>
          <w:right w:val="single" w:sz="18" w:space="0" w:color="E00000"/>
        </w:pBdr>
        <w:shd w:val="clear" w:color="auto" w:fill="F4E5E5"/>
        <w:spacing w:after="699" w:line="269" w:lineRule="auto"/>
        <w:ind w:left="250" w:right="231"/>
      </w:pPr>
      <w:r w:rsidRPr="00ED536B">
        <w:rPr>
          <w:rFonts w:ascii="Calibri" w:eastAsia="Calibri" w:hAnsi="Calibri" w:cs="Calibri"/>
          <w:b/>
        </w:rPr>
        <w:t xml:space="preserve">Рейтинг: </w:t>
      </w:r>
      <w:r w:rsidRPr="00ED536B">
        <w:rPr>
          <w:rFonts w:ascii="Calibri" w:eastAsia="Calibri" w:hAnsi="Calibri" w:cs="Calibri"/>
        </w:rPr>
        <w:t xml:space="preserve">класс </w:t>
      </w:r>
      <w:r w:rsidRPr="00AF60BF">
        <w:rPr>
          <w:rFonts w:ascii="Calibri" w:eastAsia="Calibri" w:hAnsi="Calibri" w:cs="Calibri"/>
          <w:lang w:val="en-US"/>
        </w:rPr>
        <w:t>III</w:t>
      </w:r>
      <w:r w:rsidRPr="00ED536B">
        <w:rPr>
          <w:rFonts w:ascii="Calibri" w:eastAsia="Calibri" w:hAnsi="Calibri" w:cs="Calibri"/>
        </w:rPr>
        <w:t xml:space="preserve">, уровень </w:t>
      </w:r>
      <w:r w:rsidRPr="00AF60BF">
        <w:rPr>
          <w:rFonts w:ascii="Calibri" w:eastAsia="Calibri" w:hAnsi="Calibri" w:cs="Calibri"/>
          <w:lang w:val="en-US"/>
        </w:rPr>
        <w:t>C</w:t>
      </w:r>
    </w:p>
    <w:p w:rsidR="00ED536B" w:rsidRPr="00ED536B" w:rsidRDefault="00ED536B" w:rsidP="0027624C">
      <w:pPr>
        <w:spacing w:after="247" w:line="262" w:lineRule="auto"/>
        <w:ind w:left="-5" w:right="24" w:hanging="10"/>
      </w:pPr>
      <w:r w:rsidRPr="00ED536B">
        <w:rPr>
          <w:rFonts w:ascii="Calibri" w:eastAsia="Calibri" w:hAnsi="Calibri" w:cs="Calibri"/>
        </w:rPr>
        <w:t xml:space="preserve">Острое повреждение печени распространено среди пациентов, получающих химиотерапию или иммунодепрессанты; таким образом тестирование на вирусы гепатита должно быть включено в лабораторную оценку причины повреждения печени. Однако, в то время как люди с неактивным (никакой поддающийся обнаружению вирус) или прошлая инфекция вируса гепатита </w:t>
      </w:r>
      <w:r w:rsidRPr="00AF60BF">
        <w:rPr>
          <w:rFonts w:ascii="Calibri" w:eastAsia="Calibri" w:hAnsi="Calibri" w:cs="Calibri"/>
          <w:lang w:val="en-US"/>
        </w:rPr>
        <w:t>B</w:t>
      </w:r>
      <w:r w:rsidRPr="00ED536B">
        <w:rPr>
          <w:rFonts w:ascii="Calibri" w:eastAsia="Calibri" w:hAnsi="Calibri" w:cs="Calibri"/>
        </w:rPr>
        <w:t xml:space="preserve"> могут испытать реактивацию и клинически очевидный гепатит во время иммуносупрессивной терапии или химиотерапии, это не происходит при инфекции гепатита С. Несмотря на то, что у некоторых пациентов с активной инфекцией </w:t>
      </w:r>
      <w:r w:rsidRPr="00AF60BF">
        <w:rPr>
          <w:rFonts w:ascii="Calibri" w:eastAsia="Calibri" w:hAnsi="Calibri" w:cs="Calibri"/>
          <w:lang w:val="en-US"/>
        </w:rPr>
        <w:t>HCV</w:t>
      </w:r>
      <w:r w:rsidRPr="00ED536B">
        <w:rPr>
          <w:rFonts w:ascii="Calibri" w:eastAsia="Calibri" w:hAnsi="Calibri" w:cs="Calibri"/>
        </w:rPr>
        <w:t>, прежде всего те с гематологическим злокачественным развитием, может быть прилив крови к лицу в их ферментах печени во время химиотерапии, это необычно. (</w:t>
      </w:r>
      <w:hyperlink r:id="rId61" w:anchor="mahale2012">
        <w:r>
          <w:rPr>
            <w:rFonts w:ascii="Calibri" w:eastAsia="Calibri" w:hAnsi="Calibri" w:cs="Calibri"/>
            <w:color w:val="0000FF"/>
            <w:u w:val="single" w:color="0000FF"/>
          </w:rPr>
          <w:t>Mahale, 2012 [27]</w:t>
        </w:r>
      </w:hyperlink>
      <w:r>
        <w:rPr>
          <w:rFonts w:ascii="Calibri" w:eastAsia="Calibri" w:hAnsi="Calibri" w:cs="Calibri"/>
        </w:rPr>
        <w:t xml:space="preserve">), Кроме того, реактивация мимо инфекции HCV, такой как после SVR или непосредственного клиренса, не ожидается, так как нет никакого остаточного водохранилища для вируса. </w:t>
      </w:r>
      <w:r w:rsidRPr="00ED536B">
        <w:rPr>
          <w:rFonts w:ascii="Calibri" w:eastAsia="Calibri" w:hAnsi="Calibri" w:cs="Calibri"/>
        </w:rPr>
        <w:t xml:space="preserve">Таким образом, в этой последней группе, обычное тестирование РНК </w:t>
      </w:r>
      <w:r w:rsidRPr="00AF60BF">
        <w:rPr>
          <w:rFonts w:ascii="Calibri" w:eastAsia="Calibri" w:hAnsi="Calibri" w:cs="Calibri"/>
          <w:lang w:val="en-US"/>
        </w:rPr>
        <w:t>HCV</w:t>
      </w:r>
      <w:r w:rsidRPr="00ED536B">
        <w:rPr>
          <w:rFonts w:ascii="Calibri" w:eastAsia="Calibri" w:hAnsi="Calibri" w:cs="Calibri"/>
        </w:rPr>
        <w:t xml:space="preserve"> во время иммуносупрессивной терапии или профилактического назначения противовирусных средств во время иммуносупрессивной терапии не рекомендуется.</w:t>
      </w:r>
    </w:p>
    <w:p w:rsidR="00ED536B" w:rsidRPr="00ED536B" w:rsidRDefault="00ED536B" w:rsidP="0027624C">
      <w:pPr>
        <w:spacing w:after="249"/>
      </w:pPr>
      <w:r w:rsidRPr="00ED536B">
        <w:rPr>
          <w:rFonts w:ascii="Calibri" w:eastAsia="Calibri" w:hAnsi="Calibri" w:cs="Calibri"/>
        </w:rPr>
        <w:t xml:space="preserve"> </w:t>
      </w:r>
    </w:p>
    <w:p w:rsidR="00ED536B" w:rsidRDefault="00ED536B" w:rsidP="0027624C">
      <w:pPr>
        <w:spacing w:after="4"/>
        <w:ind w:left="-5" w:hanging="10"/>
      </w:pPr>
      <w:r>
        <w:rPr>
          <w:rFonts w:ascii="Calibri" w:eastAsia="Calibri" w:hAnsi="Calibri" w:cs="Calibri"/>
          <w:i/>
        </w:rPr>
        <w:t>Изменения, внесенные 11 декабря 2015.</w:t>
      </w:r>
    </w:p>
    <w:p w:rsidR="00ED536B" w:rsidRDefault="00ED536B" w:rsidP="0027624C">
      <w:pPr>
        <w:spacing w:after="164"/>
        <w:ind w:left="2"/>
        <w:jc w:val="center"/>
      </w:pPr>
      <w:r>
        <w:rPr>
          <w:rFonts w:ascii="Calibri" w:eastAsia="Calibri" w:hAnsi="Calibri" w:cs="Calibri"/>
        </w:rPr>
        <w:t xml:space="preserve"> </w:t>
      </w:r>
    </w:p>
    <w:p w:rsidR="00ED536B" w:rsidRDefault="00ED536B" w:rsidP="0027624C">
      <w:pPr>
        <w:spacing w:after="238"/>
        <w:ind w:right="-2"/>
      </w:pPr>
      <w:r>
        <w:rPr>
          <w:noProof/>
        </w:rPr>
        <mc:AlternateContent>
          <mc:Choice Requires="wpg">
            <w:drawing>
              <wp:inline distT="0" distB="0" distL="0" distR="0" wp14:anchorId="345F3C06" wp14:editId="448E7C5C">
                <wp:extent cx="6692392" cy="9525"/>
                <wp:effectExtent l="0" t="0" r="0" b="0"/>
                <wp:docPr id="10130" name="Group 10130"/>
                <wp:cNvGraphicFramePr/>
                <a:graphic xmlns:a="http://schemas.openxmlformats.org/drawingml/2006/main">
                  <a:graphicData uri="http://schemas.microsoft.com/office/word/2010/wordprocessingGroup">
                    <wpg:wgp>
                      <wpg:cNvGrpSpPr/>
                      <wpg:grpSpPr>
                        <a:xfrm>
                          <a:off x="0" y="0"/>
                          <a:ext cx="6692392" cy="9525"/>
                          <a:chOff x="0" y="0"/>
                          <a:chExt cx="6692392" cy="9525"/>
                        </a:xfrm>
                      </wpg:grpSpPr>
                      <wps:wsp>
                        <wps:cNvPr id="1029" name="Shape 1029"/>
                        <wps:cNvSpPr/>
                        <wps:spPr>
                          <a:xfrm>
                            <a:off x="0" y="0"/>
                            <a:ext cx="6692392" cy="0"/>
                          </a:xfrm>
                          <a:custGeom>
                            <a:avLst/>
                            <a:gdLst/>
                            <a:ahLst/>
                            <a:cxnLst/>
                            <a:rect l="0" t="0" r="0" b="0"/>
                            <a:pathLst>
                              <a:path w="6692392">
                                <a:moveTo>
                                  <a:pt x="0" y="0"/>
                                </a:moveTo>
                                <a:lnTo>
                                  <a:pt x="6692392" y="0"/>
                                </a:lnTo>
                              </a:path>
                            </a:pathLst>
                          </a:custGeom>
                          <a:ln w="9525" cap="sq">
                            <a:miter lim="127000"/>
                          </a:ln>
                        </wps:spPr>
                        <wps:style>
                          <a:lnRef idx="1">
                            <a:srgbClr val="9E9E9E"/>
                          </a:lnRef>
                          <a:fillRef idx="0">
                            <a:srgbClr val="000000">
                              <a:alpha val="0"/>
                            </a:srgbClr>
                          </a:fillRef>
                          <a:effectRef idx="0">
                            <a:scrgbClr r="0" g="0" b="0"/>
                          </a:effectRef>
                          <a:fontRef idx="none"/>
                        </wps:style>
                        <wps:bodyPr/>
                      </wps:wsp>
                    </wpg:wgp>
                  </a:graphicData>
                </a:graphic>
              </wp:inline>
            </w:drawing>
          </mc:Choice>
          <mc:Fallback>
            <w:pict>
              <v:group w14:anchorId="7C5D91AE" id="Group 10130" o:spid="_x0000_s1026" style="width:526.95pt;height:.75pt;mso-position-horizontal-relative:char;mso-position-vertical-relative:line" coordsize="669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">
                <v:shape id="Shape 1029" o:spid="_x0000_s1027" style="position:absolute;width:66923;height:0;visibility:visible;mso-wrap-style:square;v-text-anchor:top" coordsize="6692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" path="m,l6692392,e" filled="f" strokecolor="#9e9e9e">
                  <v:stroke miterlimit="83231f" joinstyle="miter" endcap="square"/>
                  <v:path arrowok="t" textboxrect="0,0,6692392,0"/>
                </v:shape>
                <w10:anchorlock/>
              </v:group>
            </w:pict>
          </mc:Fallback>
        </mc:AlternateContent>
      </w:r>
    </w:p>
    <w:p w:rsidR="00ED536B" w:rsidRPr="00ED536B" w:rsidRDefault="00ED536B" w:rsidP="0027624C">
      <w:pPr>
        <w:spacing w:after="2"/>
        <w:ind w:left="-5" w:hanging="10"/>
      </w:pPr>
      <w:r w:rsidRPr="00ED536B">
        <w:rPr>
          <w:rFonts w:ascii="Calibri" w:eastAsia="Calibri" w:hAnsi="Calibri" w:cs="Calibri"/>
          <w:b/>
          <w:sz w:val="19"/>
        </w:rPr>
        <w:t xml:space="preserve">Исходный </w:t>
      </w:r>
      <w:r w:rsidRPr="00AF60BF">
        <w:rPr>
          <w:rFonts w:ascii="Calibri" w:eastAsia="Calibri" w:hAnsi="Calibri" w:cs="Calibri"/>
          <w:b/>
          <w:sz w:val="19"/>
          <w:lang w:val="en-US"/>
        </w:rPr>
        <w:t>URL</w:t>
      </w:r>
      <w:r w:rsidRPr="00ED536B">
        <w:rPr>
          <w:rFonts w:ascii="Calibri" w:eastAsia="Calibri" w:hAnsi="Calibri" w:cs="Calibri"/>
          <w:b/>
          <w:sz w:val="19"/>
        </w:rPr>
        <w:t xml:space="preserve"> (измененный на 14.01.2016 - 18:11):</w:t>
      </w:r>
    </w:p>
    <w:p w:rsidR="00ED536B" w:rsidRPr="00ED536B" w:rsidRDefault="00ED536B" w:rsidP="0027624C">
      <w:pPr>
        <w:spacing w:after="213" w:line="260" w:lineRule="auto"/>
        <w:ind w:left="-5" w:hanging="10"/>
      </w:pPr>
      <w:r w:rsidRPr="00AF60BF">
        <w:rPr>
          <w:rFonts w:ascii="Calibri" w:eastAsia="Calibri" w:hAnsi="Calibri" w:cs="Calibri"/>
          <w:sz w:val="19"/>
          <w:lang w:val="en-US"/>
        </w:rPr>
        <w:t>http</w:t>
      </w:r>
      <w:r w:rsidRPr="00ED536B">
        <w:rPr>
          <w:rFonts w:ascii="Calibri" w:eastAsia="Calibri" w:hAnsi="Calibri" w:cs="Calibri"/>
          <w:sz w:val="19"/>
        </w:rPr>
        <w:t>://</w:t>
      </w:r>
      <w:r w:rsidRPr="00AF60BF">
        <w:rPr>
          <w:rFonts w:ascii="Calibri" w:eastAsia="Calibri" w:hAnsi="Calibri" w:cs="Calibri"/>
          <w:sz w:val="19"/>
          <w:lang w:val="en-US"/>
        </w:rPr>
        <w:t>www</w:t>
      </w:r>
      <w:r w:rsidRPr="00ED536B">
        <w:rPr>
          <w:rFonts w:ascii="Calibri" w:eastAsia="Calibri" w:hAnsi="Calibri" w:cs="Calibri"/>
          <w:sz w:val="19"/>
        </w:rPr>
        <w:t>.</w:t>
      </w:r>
      <w:r w:rsidRPr="00AF60BF">
        <w:rPr>
          <w:rFonts w:ascii="Calibri" w:eastAsia="Calibri" w:hAnsi="Calibri" w:cs="Calibri"/>
          <w:sz w:val="19"/>
          <w:lang w:val="en-US"/>
        </w:rPr>
        <w:t>hcvguidelines</w:t>
      </w:r>
      <w:r w:rsidRPr="00ED536B">
        <w:rPr>
          <w:rFonts w:ascii="Calibri" w:eastAsia="Calibri" w:hAnsi="Calibri" w:cs="Calibri"/>
          <w:sz w:val="19"/>
        </w:rPr>
        <w:t>.</w:t>
      </w:r>
      <w:r w:rsidRPr="00AF60BF">
        <w:rPr>
          <w:rFonts w:ascii="Calibri" w:eastAsia="Calibri" w:hAnsi="Calibri" w:cs="Calibri"/>
          <w:sz w:val="19"/>
          <w:lang w:val="en-US"/>
        </w:rPr>
        <w:t>org</w:t>
      </w:r>
      <w:r w:rsidRPr="00ED536B">
        <w:rPr>
          <w:rFonts w:ascii="Calibri" w:eastAsia="Calibri" w:hAnsi="Calibri" w:cs="Calibri"/>
          <w:sz w:val="19"/>
        </w:rPr>
        <w:t>/</w:t>
      </w:r>
      <w:r w:rsidRPr="00AF60BF">
        <w:rPr>
          <w:rFonts w:ascii="Calibri" w:eastAsia="Calibri" w:hAnsi="Calibri" w:cs="Calibri"/>
          <w:sz w:val="19"/>
          <w:lang w:val="en-US"/>
        </w:rPr>
        <w:t>full</w:t>
      </w:r>
      <w:r w:rsidRPr="00ED536B">
        <w:rPr>
          <w:rFonts w:ascii="Calibri" w:eastAsia="Calibri" w:hAnsi="Calibri" w:cs="Calibri"/>
          <w:sz w:val="19"/>
        </w:rPr>
        <w:t>-</w:t>
      </w:r>
      <w:r w:rsidRPr="00AF60BF">
        <w:rPr>
          <w:rFonts w:ascii="Calibri" w:eastAsia="Calibri" w:hAnsi="Calibri" w:cs="Calibri"/>
          <w:sz w:val="19"/>
          <w:lang w:val="en-US"/>
        </w:rPr>
        <w:t>report</w:t>
      </w:r>
      <w:r w:rsidRPr="00ED536B">
        <w:rPr>
          <w:rFonts w:ascii="Calibri" w:eastAsia="Calibri" w:hAnsi="Calibri" w:cs="Calibri"/>
          <w:sz w:val="19"/>
        </w:rPr>
        <w:t>/</w:t>
      </w:r>
      <w:r w:rsidRPr="00AF60BF">
        <w:rPr>
          <w:rFonts w:ascii="Calibri" w:eastAsia="Calibri" w:hAnsi="Calibri" w:cs="Calibri"/>
          <w:sz w:val="19"/>
          <w:lang w:val="en-US"/>
        </w:rPr>
        <w:t>monitoring</w:t>
      </w:r>
      <w:r w:rsidRPr="00ED536B">
        <w:rPr>
          <w:rFonts w:ascii="Calibri" w:eastAsia="Calibri" w:hAnsi="Calibri" w:cs="Calibri"/>
          <w:sz w:val="19"/>
        </w:rPr>
        <w:t>-</w:t>
      </w:r>
      <w:r w:rsidRPr="00AF60BF">
        <w:rPr>
          <w:rFonts w:ascii="Calibri" w:eastAsia="Calibri" w:hAnsi="Calibri" w:cs="Calibri"/>
          <w:sz w:val="19"/>
          <w:lang w:val="en-US"/>
        </w:rPr>
        <w:t>patients</w:t>
      </w:r>
      <w:r w:rsidRPr="00ED536B">
        <w:rPr>
          <w:rFonts w:ascii="Calibri" w:eastAsia="Calibri" w:hAnsi="Calibri" w:cs="Calibri"/>
          <w:sz w:val="19"/>
        </w:rPr>
        <w:t>-</w:t>
      </w:r>
      <w:r w:rsidRPr="00AF60BF">
        <w:rPr>
          <w:rFonts w:ascii="Calibri" w:eastAsia="Calibri" w:hAnsi="Calibri" w:cs="Calibri"/>
          <w:sz w:val="19"/>
          <w:lang w:val="en-US"/>
        </w:rPr>
        <w:t>who</w:t>
      </w:r>
      <w:r w:rsidRPr="00ED536B">
        <w:rPr>
          <w:rFonts w:ascii="Calibri" w:eastAsia="Calibri" w:hAnsi="Calibri" w:cs="Calibri"/>
          <w:sz w:val="19"/>
        </w:rPr>
        <w:t>-</w:t>
      </w:r>
      <w:r w:rsidRPr="00AF60BF">
        <w:rPr>
          <w:rFonts w:ascii="Calibri" w:eastAsia="Calibri" w:hAnsi="Calibri" w:cs="Calibri"/>
          <w:sz w:val="19"/>
          <w:lang w:val="en-US"/>
        </w:rPr>
        <w:t>are</w:t>
      </w:r>
      <w:r w:rsidRPr="00ED536B">
        <w:rPr>
          <w:rFonts w:ascii="Calibri" w:eastAsia="Calibri" w:hAnsi="Calibri" w:cs="Calibri"/>
          <w:sz w:val="19"/>
        </w:rPr>
        <w:t>-</w:t>
      </w:r>
      <w:r w:rsidRPr="00AF60BF">
        <w:rPr>
          <w:rFonts w:ascii="Calibri" w:eastAsia="Calibri" w:hAnsi="Calibri" w:cs="Calibri"/>
          <w:sz w:val="19"/>
          <w:lang w:val="en-US"/>
        </w:rPr>
        <w:t>starting</w:t>
      </w:r>
      <w:r w:rsidRPr="00ED536B">
        <w:rPr>
          <w:rFonts w:ascii="Calibri" w:eastAsia="Calibri" w:hAnsi="Calibri" w:cs="Calibri"/>
          <w:sz w:val="19"/>
        </w:rPr>
        <w:t>-</w:t>
      </w:r>
      <w:r w:rsidRPr="00AF60BF">
        <w:rPr>
          <w:rFonts w:ascii="Calibri" w:eastAsia="Calibri" w:hAnsi="Calibri" w:cs="Calibri"/>
          <w:sz w:val="19"/>
          <w:lang w:val="en-US"/>
        </w:rPr>
        <w:t>hepatitis</w:t>
      </w:r>
      <w:r w:rsidRPr="00ED536B">
        <w:rPr>
          <w:rFonts w:ascii="Calibri" w:eastAsia="Calibri" w:hAnsi="Calibri" w:cs="Calibri"/>
          <w:sz w:val="19"/>
        </w:rPr>
        <w:t>-</w:t>
      </w:r>
      <w:r w:rsidRPr="00AF60BF">
        <w:rPr>
          <w:rFonts w:ascii="Calibri" w:eastAsia="Calibri" w:hAnsi="Calibri" w:cs="Calibri"/>
          <w:sz w:val="19"/>
          <w:lang w:val="en-US"/>
        </w:rPr>
        <w:t>c</w:t>
      </w:r>
      <w:r w:rsidRPr="00ED536B">
        <w:rPr>
          <w:rFonts w:ascii="Calibri" w:eastAsia="Calibri" w:hAnsi="Calibri" w:cs="Calibri"/>
          <w:sz w:val="19"/>
        </w:rPr>
        <w:t>-</w:t>
      </w:r>
      <w:r w:rsidRPr="00AF60BF">
        <w:rPr>
          <w:rFonts w:ascii="Calibri" w:eastAsia="Calibri" w:hAnsi="Calibri" w:cs="Calibri"/>
          <w:sz w:val="19"/>
          <w:lang w:val="en-US"/>
        </w:rPr>
        <w:t>treatment</w:t>
      </w:r>
      <w:r w:rsidRPr="00ED536B">
        <w:rPr>
          <w:rFonts w:ascii="Calibri" w:eastAsia="Calibri" w:hAnsi="Calibri" w:cs="Calibri"/>
          <w:sz w:val="19"/>
        </w:rPr>
        <w:t>-</w:t>
      </w:r>
      <w:r w:rsidRPr="00AF60BF">
        <w:rPr>
          <w:rFonts w:ascii="Calibri" w:eastAsia="Calibri" w:hAnsi="Calibri" w:cs="Calibri"/>
          <w:sz w:val="19"/>
          <w:lang w:val="en-US"/>
        </w:rPr>
        <w:t>are</w:t>
      </w:r>
      <w:r w:rsidRPr="00ED536B">
        <w:rPr>
          <w:rFonts w:ascii="Calibri" w:eastAsia="Calibri" w:hAnsi="Calibri" w:cs="Calibri"/>
          <w:sz w:val="19"/>
        </w:rPr>
        <w:t>-</w:t>
      </w:r>
      <w:r w:rsidRPr="00AF60BF">
        <w:rPr>
          <w:rFonts w:ascii="Calibri" w:eastAsia="Calibri" w:hAnsi="Calibri" w:cs="Calibri"/>
          <w:sz w:val="19"/>
          <w:lang w:val="en-US"/>
        </w:rPr>
        <w:t>treatment</w:t>
      </w:r>
      <w:r w:rsidRPr="00ED536B">
        <w:rPr>
          <w:rFonts w:ascii="Calibri" w:eastAsia="Calibri" w:hAnsi="Calibri" w:cs="Calibri"/>
          <w:sz w:val="19"/>
        </w:rPr>
        <w:t>-</w:t>
      </w:r>
      <w:r w:rsidRPr="00AF60BF">
        <w:rPr>
          <w:rFonts w:ascii="Calibri" w:eastAsia="Calibri" w:hAnsi="Calibri" w:cs="Calibri"/>
          <w:sz w:val="19"/>
          <w:lang w:val="en-US"/>
        </w:rPr>
        <w:t>or</w:t>
      </w:r>
      <w:r w:rsidRPr="00ED536B">
        <w:rPr>
          <w:rFonts w:ascii="Calibri" w:eastAsia="Calibri" w:hAnsi="Calibri" w:cs="Calibri"/>
          <w:sz w:val="19"/>
        </w:rPr>
        <w:t>-</w:t>
      </w:r>
      <w:r w:rsidRPr="00AF60BF">
        <w:rPr>
          <w:rFonts w:ascii="Calibri" w:eastAsia="Calibri" w:hAnsi="Calibri" w:cs="Calibri"/>
          <w:sz w:val="19"/>
          <w:lang w:val="en-US"/>
        </w:rPr>
        <w:t>have</w:t>
      </w:r>
    </w:p>
    <w:p w:rsidR="00ED536B" w:rsidRDefault="00ED536B" w:rsidP="0027624C">
      <w:pPr>
        <w:spacing w:after="2"/>
        <w:ind w:left="-5" w:hanging="10"/>
      </w:pPr>
      <w:r>
        <w:rPr>
          <w:rFonts w:ascii="Calibri" w:eastAsia="Calibri" w:hAnsi="Calibri" w:cs="Calibri"/>
          <w:b/>
          <w:sz w:val="19"/>
        </w:rPr>
        <w:t>Связи</w:t>
      </w:r>
    </w:p>
    <w:p w:rsidR="00ED536B" w:rsidRDefault="00ED536B" w:rsidP="0027624C">
      <w:pPr>
        <w:numPr>
          <w:ilvl w:val="0"/>
          <w:numId w:val="1"/>
        </w:numPr>
        <w:spacing w:after="3" w:line="260" w:lineRule="auto"/>
        <w:ind w:hanging="295"/>
      </w:pPr>
      <w:r>
        <w:rPr>
          <w:rFonts w:ascii="Calibri" w:eastAsia="Calibri" w:hAnsi="Calibri" w:cs="Calibri"/>
          <w:sz w:val="19"/>
        </w:rPr>
        <w:t>http://www.hcvguidelines.org/node/11</w:t>
      </w:r>
    </w:p>
    <w:p w:rsidR="00ED536B" w:rsidRDefault="00ED536B" w:rsidP="0027624C">
      <w:pPr>
        <w:numPr>
          <w:ilvl w:val="0"/>
          <w:numId w:val="1"/>
        </w:numPr>
        <w:spacing w:after="3" w:line="260" w:lineRule="auto"/>
        <w:ind w:hanging="295"/>
      </w:pPr>
      <w:r>
        <w:rPr>
          <w:rFonts w:ascii="Calibri" w:eastAsia="Calibri" w:hAnsi="Calibri" w:cs="Calibri"/>
          <w:sz w:val="19"/>
        </w:rPr>
        <w:t>http://www.hcvguidelines.org/node/146</w:t>
      </w:r>
    </w:p>
    <w:p w:rsidR="00ED536B" w:rsidRDefault="00ED536B" w:rsidP="0027624C">
      <w:pPr>
        <w:numPr>
          <w:ilvl w:val="0"/>
          <w:numId w:val="1"/>
        </w:numPr>
        <w:spacing w:after="3" w:line="260" w:lineRule="auto"/>
        <w:ind w:hanging="295"/>
      </w:pPr>
      <w:r>
        <w:rPr>
          <w:rFonts w:ascii="Calibri" w:eastAsia="Calibri" w:hAnsi="Calibri" w:cs="Calibri"/>
          <w:sz w:val="19"/>
        </w:rPr>
        <w:t>http://www.hcvguidelines.org/node/91</w:t>
      </w:r>
    </w:p>
    <w:p w:rsidR="00ED536B" w:rsidRDefault="00ED536B" w:rsidP="0027624C">
      <w:pPr>
        <w:numPr>
          <w:ilvl w:val="0"/>
          <w:numId w:val="1"/>
        </w:numPr>
        <w:spacing w:after="3" w:line="260" w:lineRule="auto"/>
        <w:ind w:hanging="295"/>
      </w:pPr>
      <w:r>
        <w:rPr>
          <w:rFonts w:ascii="Calibri" w:eastAsia="Calibri" w:hAnsi="Calibri" w:cs="Calibri"/>
          <w:sz w:val="19"/>
        </w:rPr>
        <w:t>http://www.hep-druginteractions.org/$$$</w:t>
      </w:r>
    </w:p>
    <w:p w:rsidR="00ED536B" w:rsidRDefault="00ED536B" w:rsidP="0027624C">
      <w:pPr>
        <w:numPr>
          <w:ilvl w:val="0"/>
          <w:numId w:val="1"/>
        </w:numPr>
        <w:spacing w:after="3" w:line="260" w:lineRule="auto"/>
        <w:ind w:hanging="295"/>
      </w:pPr>
      <w:r>
        <w:rPr>
          <w:rFonts w:ascii="Calibri" w:eastAsia="Calibri" w:hAnsi="Calibri" w:cs="Calibri"/>
          <w:sz w:val="19"/>
        </w:rPr>
        <w:t>http://www.hcvguidelines.org/full-report/references#genentech2014a[6] http://www.hcvguidelines.org/full-report/references#genentech2014b</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http://www.hcvguidelines.org/node/71#prod_hepatotoxicity_gl</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http://www.hcvguidelines.org/node/73#prod_hepatotoxicity_gl</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http://www.hcvguidelines.org/node/73#gt1-ns5a</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http://www.hcvguidelines.org/node/71#gt1-cirrhosis</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http://www.hcvguidelines.org/node/73#gt1-cirrhosis</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http://www.hcvguidelines.org/full-report/references#dienstag2011</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http://www.hcvguidelines.org/full-report/references#lawitz2014a</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http://www.hcvguidelines.org/full-report/references#schneider2014</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http://www.hcvguidelines.org/node/73#gt1-cirrhosis-txt</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http://www.hcvguidelines.org/node/71#gt1-cirrhosis-txt</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http://www.hcvguidelines.org/node/73#gt1-cirrhosis-txt2</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http://www.hcvguidelines.org/full-report/references#manns2013</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http://www.hcvguidelines.org/full-report/references#morisco2013</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http://www.hcvguidelines.org/full-report/references#morgan2010</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http://www.hcvguidelines.org/full-report/references#george2009</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http://www.hcvguidelines.org/full-report/references#morgan2013</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http://www.hcvguidelines.org/full-report/references#singal2010</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http://www.hcvguidelines.org/full-report/references#bruix2011</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http://www.hcvguidelines.org/full-report/references#garcia-tsao2007</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http://www.hcvguidelines.org/node/93</w:t>
      </w:r>
    </w:p>
    <w:p w:rsidR="00ED536B" w:rsidRDefault="00ED536B" w:rsidP="0027624C">
      <w:pPr>
        <w:numPr>
          <w:ilvl w:val="0"/>
          <w:numId w:val="2"/>
        </w:numPr>
        <w:spacing w:after="3" w:line="260" w:lineRule="auto"/>
        <w:ind w:hanging="403"/>
      </w:pPr>
      <w:r>
        <w:rPr>
          <w:rFonts w:ascii="Calibri" w:eastAsia="Calibri" w:hAnsi="Calibri" w:cs="Calibri"/>
          <w:sz w:val="19"/>
        </w:rPr>
        <w:t>http://www.hcvguidelines.org/full-report/references#mahale2012</w:t>
      </w:r>
    </w:p>
    <w:sectPr w:rsidR="00ED536B" w:rsidSect="00A72D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7F15F9"/>
    <w:multiLevelType w:val="hybridMultilevel"/>
    <w:tmpl w:val="67A6C550"/>
    <w:lvl w:ilvl="0" w:tplc="0C7654EE">
      <w:start w:val="7"/>
      <w:numFmt w:val="decimal"/>
      <w:lvlText w:val="[%1]"/>
      <w:lvlJc w:val="left"/>
      <w:pPr>
        <w:ind w:left="403"/>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8EFE31F0">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11E2495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DE8AFF20">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F672FAB0">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D19A8F0A">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1AA8E1C6">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1152B6F8">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D86087E6">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79015E26"/>
    <w:multiLevelType w:val="hybridMultilevel"/>
    <w:tmpl w:val="3BEA00E6"/>
    <w:lvl w:ilvl="0" w:tplc="C486B9DE">
      <w:start w:val="1"/>
      <w:numFmt w:val="decimal"/>
      <w:lvlText w:val="[%1]"/>
      <w:lvlJc w:val="left"/>
      <w:pPr>
        <w:ind w:left="29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FFF0455E">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95E03AD4">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465CCC26">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466065E4">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6EB8E7DC">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7C72B4A0">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0778C4FE">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E5546CD6">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72"/>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36B"/>
    <w:rsid w:val="00ED536B"/>
    <w:rsid w:val="00F501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1B2E2-37EC-45A4-9CD6-F4D4091C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ED536B"/>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cvguidelines.org/full-report/references" TargetMode="External"/><Relationship Id="rId18" Type="http://schemas.openxmlformats.org/officeDocument/2006/relationships/hyperlink" Target="http://www.hcvguidelines.org/node/73" TargetMode="External"/><Relationship Id="rId26" Type="http://schemas.openxmlformats.org/officeDocument/2006/relationships/hyperlink" Target="http://www.hcvguidelines.org/full-report/references" TargetMode="External"/><Relationship Id="rId39" Type="http://schemas.openxmlformats.org/officeDocument/2006/relationships/hyperlink" Target="http://www.hcvguidelines.org/full-report/references" TargetMode="External"/><Relationship Id="rId21" Type="http://schemas.openxmlformats.org/officeDocument/2006/relationships/hyperlink" Target="http://www.hcvguidelines.org/node/73" TargetMode="External"/><Relationship Id="rId34" Type="http://schemas.openxmlformats.org/officeDocument/2006/relationships/hyperlink" Target="http://www.hcvguidelines.org/full-report/references" TargetMode="External"/><Relationship Id="rId42" Type="http://schemas.openxmlformats.org/officeDocument/2006/relationships/hyperlink" Target="http://www.hcvguidelines.org/full-report/references" TargetMode="External"/><Relationship Id="rId47" Type="http://schemas.openxmlformats.org/officeDocument/2006/relationships/hyperlink" Target="http://www.hcvguidelines.org/full-report/references" TargetMode="External"/><Relationship Id="rId50" Type="http://schemas.openxmlformats.org/officeDocument/2006/relationships/hyperlink" Target="http://www.hcvguidelines.org/full-report/references" TargetMode="External"/><Relationship Id="rId55" Type="http://schemas.openxmlformats.org/officeDocument/2006/relationships/hyperlink" Target="http://www.hcvguidelines.org/full-report/references" TargetMode="External"/><Relationship Id="rId63" Type="http://schemas.openxmlformats.org/officeDocument/2006/relationships/theme" Target="theme/theme1.xml"/><Relationship Id="rId7" Type="http://schemas.openxmlformats.org/officeDocument/2006/relationships/hyperlink" Target="http://www.hcvguidelines.org/" TargetMode="External"/><Relationship Id="rId2" Type="http://schemas.openxmlformats.org/officeDocument/2006/relationships/styles" Target="styles.xml"/><Relationship Id="rId16" Type="http://schemas.openxmlformats.org/officeDocument/2006/relationships/hyperlink" Target="http://www.hcvguidelines.org/node/71" TargetMode="External"/><Relationship Id="rId20" Type="http://schemas.openxmlformats.org/officeDocument/2006/relationships/hyperlink" Target="http://www.hcvguidelines.org/node/71" TargetMode="External"/><Relationship Id="rId29" Type="http://schemas.openxmlformats.org/officeDocument/2006/relationships/hyperlink" Target="http://www.hcvguidelines.org/node/71" TargetMode="External"/><Relationship Id="rId41" Type="http://schemas.openxmlformats.org/officeDocument/2006/relationships/hyperlink" Target="http://www.hcvguidelines.org/full-report/references" TargetMode="External"/><Relationship Id="rId54" Type="http://schemas.openxmlformats.org/officeDocument/2006/relationships/hyperlink" Target="http://www.hcvguidelines.org/full-report/reference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hcvguidelines.org/" TargetMode="External"/><Relationship Id="rId11" Type="http://schemas.openxmlformats.org/officeDocument/2006/relationships/hyperlink" Target="http://www.hep-druginteractions.org/$$$" TargetMode="External"/><Relationship Id="rId24" Type="http://schemas.openxmlformats.org/officeDocument/2006/relationships/hyperlink" Target="http://www.hcvguidelines.org/full-report/references" TargetMode="External"/><Relationship Id="rId32" Type="http://schemas.openxmlformats.org/officeDocument/2006/relationships/hyperlink" Target="http://www.hcvguidelines.org/full-report/references" TargetMode="External"/><Relationship Id="rId37" Type="http://schemas.openxmlformats.org/officeDocument/2006/relationships/hyperlink" Target="http://www.hcvguidelines.org/full-report/references" TargetMode="External"/><Relationship Id="rId40" Type="http://schemas.openxmlformats.org/officeDocument/2006/relationships/hyperlink" Target="http://www.hcvguidelines.org/full-report/references" TargetMode="External"/><Relationship Id="rId45" Type="http://schemas.openxmlformats.org/officeDocument/2006/relationships/hyperlink" Target="http://www.hcvguidelines.org/full-report/references" TargetMode="External"/><Relationship Id="rId53" Type="http://schemas.openxmlformats.org/officeDocument/2006/relationships/hyperlink" Target="http://www.hcvguidelines.org/full-report/references" TargetMode="External"/><Relationship Id="rId58" Type="http://schemas.openxmlformats.org/officeDocument/2006/relationships/hyperlink" Target="http://www.hcvguidelines.org/full-report/references" TargetMode="External"/><Relationship Id="rId5" Type="http://schemas.openxmlformats.org/officeDocument/2006/relationships/image" Target="media/image1.jpg"/><Relationship Id="rId15" Type="http://schemas.openxmlformats.org/officeDocument/2006/relationships/hyperlink" Target="http://www.hcvguidelines.org/full-report/references" TargetMode="External"/><Relationship Id="rId23" Type="http://schemas.openxmlformats.org/officeDocument/2006/relationships/hyperlink" Target="http://www.hcvguidelines.org/full-report/references" TargetMode="External"/><Relationship Id="rId28" Type="http://schemas.openxmlformats.org/officeDocument/2006/relationships/hyperlink" Target="http://www.hcvguidelines.org/node/73" TargetMode="External"/><Relationship Id="rId36" Type="http://schemas.openxmlformats.org/officeDocument/2006/relationships/hyperlink" Target="http://www.hcvguidelines.org/full-report/references" TargetMode="External"/><Relationship Id="rId49" Type="http://schemas.openxmlformats.org/officeDocument/2006/relationships/hyperlink" Target="http://www.hcvguidelines.org/full-report/references" TargetMode="External"/><Relationship Id="rId57" Type="http://schemas.openxmlformats.org/officeDocument/2006/relationships/hyperlink" Target="http://www.hcvguidelines.org/full-report/references" TargetMode="External"/><Relationship Id="rId61" Type="http://schemas.openxmlformats.org/officeDocument/2006/relationships/hyperlink" Target="http://www.hcvguidelines.org/full-report/references" TargetMode="External"/><Relationship Id="rId10" Type="http://schemas.openxmlformats.org/officeDocument/2006/relationships/hyperlink" Target="http://www.hcvguidelines.org/node/91" TargetMode="External"/><Relationship Id="rId19" Type="http://schemas.openxmlformats.org/officeDocument/2006/relationships/hyperlink" Target="http://www.hcvguidelines.org/node/73" TargetMode="External"/><Relationship Id="rId31" Type="http://schemas.openxmlformats.org/officeDocument/2006/relationships/hyperlink" Target="http://www.hcvguidelines.org/full-report/references" TargetMode="External"/><Relationship Id="rId44" Type="http://schemas.openxmlformats.org/officeDocument/2006/relationships/hyperlink" Target="http://www.hcvguidelines.org/full-report/references" TargetMode="External"/><Relationship Id="rId52" Type="http://schemas.openxmlformats.org/officeDocument/2006/relationships/hyperlink" Target="http://www.hcvguidelines.org/full-report/references" TargetMode="External"/><Relationship Id="rId60" Type="http://schemas.openxmlformats.org/officeDocument/2006/relationships/hyperlink" Target="http://www.hcvguidelines.org/node/93" TargetMode="External"/><Relationship Id="rId4" Type="http://schemas.openxmlformats.org/officeDocument/2006/relationships/webSettings" Target="webSettings.xml"/><Relationship Id="rId9" Type="http://schemas.openxmlformats.org/officeDocument/2006/relationships/hyperlink" Target="http://www.hcvguidelines.org/node/146" TargetMode="External"/><Relationship Id="rId14" Type="http://schemas.openxmlformats.org/officeDocument/2006/relationships/hyperlink" Target="http://www.hcvguidelines.org/full-report/references" TargetMode="External"/><Relationship Id="rId22" Type="http://schemas.openxmlformats.org/officeDocument/2006/relationships/hyperlink" Target="http://www.hcvguidelines.org/full-report/references" TargetMode="External"/><Relationship Id="rId27" Type="http://schemas.openxmlformats.org/officeDocument/2006/relationships/hyperlink" Target="http://www.hcvguidelines.org/full-report/references" TargetMode="External"/><Relationship Id="rId30" Type="http://schemas.openxmlformats.org/officeDocument/2006/relationships/hyperlink" Target="http://www.hcvguidelines.org/node/73" TargetMode="External"/><Relationship Id="rId35" Type="http://schemas.openxmlformats.org/officeDocument/2006/relationships/hyperlink" Target="http://www.hcvguidelines.org/full-report/references" TargetMode="External"/><Relationship Id="rId43" Type="http://schemas.openxmlformats.org/officeDocument/2006/relationships/hyperlink" Target="http://www.hcvguidelines.org/full-report/references" TargetMode="External"/><Relationship Id="rId48" Type="http://schemas.openxmlformats.org/officeDocument/2006/relationships/hyperlink" Target="http://www.hcvguidelines.org/full-report/references" TargetMode="External"/><Relationship Id="rId56" Type="http://schemas.openxmlformats.org/officeDocument/2006/relationships/hyperlink" Target="http://www.hcvguidelines.org/full-report/references" TargetMode="External"/><Relationship Id="rId8" Type="http://schemas.openxmlformats.org/officeDocument/2006/relationships/hyperlink" Target="http://www.hcvguidelines.org/node/11" TargetMode="External"/><Relationship Id="rId51" Type="http://schemas.openxmlformats.org/officeDocument/2006/relationships/hyperlink" Target="http://www.hcvguidelines.org/full-report/references" TargetMode="External"/><Relationship Id="rId3" Type="http://schemas.openxmlformats.org/officeDocument/2006/relationships/settings" Target="settings.xml"/><Relationship Id="rId12" Type="http://schemas.openxmlformats.org/officeDocument/2006/relationships/hyperlink" Target="http://www.hcvguidelines.org/full-report/references" TargetMode="External"/><Relationship Id="rId17" Type="http://schemas.openxmlformats.org/officeDocument/2006/relationships/hyperlink" Target="http://www.hcvguidelines.org/node/71" TargetMode="External"/><Relationship Id="rId25" Type="http://schemas.openxmlformats.org/officeDocument/2006/relationships/hyperlink" Target="http://www.hcvguidelines.org/full-report/references" TargetMode="External"/><Relationship Id="rId33" Type="http://schemas.openxmlformats.org/officeDocument/2006/relationships/hyperlink" Target="http://www.hcvguidelines.org/full-report/references" TargetMode="External"/><Relationship Id="rId38" Type="http://schemas.openxmlformats.org/officeDocument/2006/relationships/hyperlink" Target="http://www.hcvguidelines.org/full-report/references" TargetMode="External"/><Relationship Id="rId46" Type="http://schemas.openxmlformats.org/officeDocument/2006/relationships/hyperlink" Target="http://www.hcvguidelines.org/full-report/references" TargetMode="External"/><Relationship Id="rId59" Type="http://schemas.openxmlformats.org/officeDocument/2006/relationships/hyperlink" Target="http://www.hcvguidelines.org/node/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4786</Words>
  <Characters>27284</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rus</dc:creator>
  <cp:keywords/>
  <dc:description/>
  <cp:lastModifiedBy>vlad rus</cp:lastModifiedBy>
  <cp:revision>1</cp:revision>
  <dcterms:created xsi:type="dcterms:W3CDTF">2016-02-11T19:00:00Z</dcterms:created>
  <dcterms:modified xsi:type="dcterms:W3CDTF">2016-02-11T19:01:00Z</dcterms:modified>
</cp:coreProperties>
</file>