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 Black" w:hAnsi="Arial Black"/>
          <w:b/>
          <w:b/>
          <w:iCs/>
          <w:sz w:val="32"/>
          <w:szCs w:val="32"/>
        </w:rPr>
      </w:pPr>
      <w:r>
        <mc:AlternateContent>
          <mc:Choice Requires="wpg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3494405</wp:posOffset>
                </wp:positionH>
                <wp:positionV relativeFrom="paragraph">
                  <wp:posOffset>-99695</wp:posOffset>
                </wp:positionV>
                <wp:extent cx="508000" cy="53149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7240" cy="5310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392400" cy="495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rPr/>
                              </w:pPr>
                              <w:r>
                                <w:rPr>
                                  <w:szCs w:val="22"/>
                                  <w:b/>
                                  <w:sz w:val="52"/>
                                  <w:rFonts w:ascii="Calibri" w:hAnsi="Calibri" w:eastAsia="Calibri" w:cs=""/>
                                  <w:lang w:eastAsia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SpPr/>
                        <wps:spPr>
                          <a:xfrm>
                            <a:off x="248400" y="66600"/>
                            <a:ext cx="259200" cy="4640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rPr/>
                              </w:pPr>
                              <w:r>
                                <w:rPr>
                                  <w:szCs w:val="22"/>
                                  <w:b/>
                                  <w:sz w:val="48"/>
                                  <w:rFonts w:ascii="Calibri" w:hAnsi="Calibri" w:eastAsia="Calibri" w:cs=""/>
                                  <w:lang w:eastAsia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275.15pt;margin-top:-7.85pt;width:40pt;height:41.8pt" coordorigin="5503,-157" coordsize="800,836">
                <v:shapetype id="shapetype_202" coordsize="21600,21600" o:spt="202" path="m,l,21600l21600,21600l21600,xe">
                  <v:stroke joinstyle="miter"/>
                  <v:path gradientshapeok="t" o:connecttype="rect"/>
                </v:shapetype>
                <v:shape id="shape_0" fillcolor="white" stroked="f" style="position:absolute;left:5503;top:-157;width:617;height:779" type="shapetype_202">
                  <v:textbox>
                    <w:txbxContent>
                      <w:p>
                        <w:pPr>
                          <w:overflowPunct w:val="false"/>
                          <w:rPr/>
                        </w:pPr>
                        <w:r>
                          <w:rPr>
                            <w:szCs w:val="22"/>
                            <w:b/>
                            <w:sz w:val="52"/>
                            <w:rFonts w:ascii="Calibri" w:hAnsi="Calibri" w:eastAsia="Calibri" w:cs=""/>
                            <w:lang w:eastAsia="en-US"/>
                          </w:rPr>
                          <w:t>D</w:t>
                        </w:r>
                      </w:p>
                    </w:txbxContent>
                  </v:textbox>
                  <w10:wrap type="none"/>
                  <v:fill o:detectmouseclick="t" type="solid" color2="black"/>
                  <v:stroke color="#3465a4" joinstyle="round" endcap="flat"/>
                </v:shape>
                <v:shape id="shape_0" stroked="f" style="position:absolute;left:5894;top:-52;width:407;height:730" type="shapetype_202">
                  <v:textbox>
                    <w:txbxContent>
                      <w:p>
                        <w:pPr>
                          <w:overflowPunct w:val="false"/>
                          <w:rPr/>
                        </w:pPr>
                        <w:r>
                          <w:rPr>
                            <w:szCs w:val="22"/>
                            <w:b/>
                            <w:sz w:val="48"/>
                            <w:rFonts w:ascii="Calibri" w:hAnsi="Calibri" w:eastAsia="Calibri" w:cs=""/>
                            <w:lang w:eastAsia="en-US"/>
                          </w:rPr>
                          <w:t>i</w:t>
                        </w:r>
                      </w:p>
                    </w:txbxContent>
                  </v:textbox>
                  <w10:wrap type="none"/>
                  <v:fill o:detectmouseclick="t" on="false"/>
                  <v:stroke color="#3465a4" joinstyle="round" endcap="flat"/>
                </v:shape>
              </v:group>
            </w:pict>
          </mc:Fallback>
        </mc:AlternateContent>
      </w:r>
      <w:r>
        <w:rPr>
          <w:rFonts w:ascii="Arial Black" w:hAnsi="Arial Black"/>
          <w:b/>
          <w:iCs/>
          <w:sz w:val="32"/>
          <w:szCs w:val="32"/>
        </w:rPr>
        <w:t xml:space="preserve"> </w:t>
      </w:r>
      <w:r>
        <w:rPr>
          <w:rFonts w:ascii="Arial Black" w:hAnsi="Arial Black"/>
          <w:b/>
          <w:iCs/>
          <w:sz w:val="32"/>
          <w:szCs w:val="32"/>
        </w:rPr>
        <w:t xml:space="preserve">       </w:t>
      </w:r>
      <w:r>
        <w:rPr>
          <w:rFonts w:ascii="Arial Black" w:hAnsi="Arial Black"/>
          <w:b/>
          <w:iCs/>
          <w:sz w:val="32"/>
          <w:szCs w:val="32"/>
        </w:rPr>
        <w:t>МЕДИЦИНСКИЙ          ЦЕНТР</w:t>
      </w:r>
    </w:p>
    <w:p>
      <w:pPr>
        <w:pStyle w:val="Normal"/>
        <w:jc w:val="center"/>
        <w:rPr>
          <w:b/>
          <w:b/>
          <w:iCs/>
        </w:rPr>
      </w:pPr>
      <w:r>
        <w:rPr>
          <w:b/>
          <w:iCs/>
        </w:rPr>
        <w:t>413100, Г. Энгельс, ул.Горького, 26, тел. (8453) 75-96-98, 75-92-44</w:t>
      </w:r>
    </w:p>
    <w:p>
      <w:pPr>
        <w:pStyle w:val="Normal"/>
        <w:jc w:val="center"/>
        <w:rPr>
          <w:b/>
          <w:b/>
          <w:iCs/>
          <w:szCs w:val="32"/>
          <w:lang w:val="en-US"/>
        </w:rPr>
      </w:pPr>
      <w:r>
        <w:rPr>
          <w:b/>
          <w:iCs/>
          <w:szCs w:val="32"/>
        </w:rPr>
        <w:t xml:space="preserve">410002, г. Саратов, ул. Московская, 23, тел. </w:t>
      </w:r>
      <w:r>
        <w:rPr>
          <w:b/>
          <w:iCs/>
          <w:szCs w:val="32"/>
          <w:lang w:val="en-US"/>
        </w:rPr>
        <w:t>(8452)28-23-66, 28-24-57</w:t>
      </w:r>
    </w:p>
    <w:p>
      <w:pPr>
        <w:pStyle w:val="Normal"/>
        <w:jc w:val="center"/>
        <w:rPr>
          <w:b/>
          <w:b/>
          <w:iCs/>
          <w:szCs w:val="32"/>
          <w:lang w:val="en-US"/>
        </w:rPr>
      </w:pPr>
      <w:r>
        <w:rPr>
          <w:b/>
          <w:iCs/>
          <w:szCs w:val="32"/>
          <w:lang w:val="en-US"/>
        </w:rPr>
        <w:t>www. di-centr.ru, e-mail: di-center@mail.ru</w:t>
      </w:r>
    </w:p>
    <w:p>
      <w:pPr>
        <w:pStyle w:val="Normal"/>
        <w:rPr>
          <w:rFonts w:ascii="Arial" w:hAnsi="Arial" w:cs="Arial"/>
          <w:b/>
          <w:b/>
          <w:sz w:val="32"/>
          <w:szCs w:val="32"/>
          <w:lang w:val="en-US"/>
        </w:rPr>
      </w:pPr>
      <w:r>
        <w:rPr>
          <w:rFonts w:cs="Arial" w:ascii="Arial" w:hAnsi="Arial"/>
          <w:b/>
          <w:sz w:val="32"/>
          <w:szCs w:val="32"/>
          <w:lang w:val="en-US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8"/>
          <w:szCs w:val="28"/>
        </w:rPr>
        <w:t>ЭЛАСТОМЕТРИЯ    ПЕЧЕНИ</w:t>
      </w:r>
    </w:p>
    <w:p>
      <w:pPr>
        <w:pStyle w:val="Normal"/>
        <w:jc w:val="center"/>
        <w:rPr>
          <w:rFonts w:ascii="Arial" w:hAnsi="Arial" w:cs="Arial"/>
          <w:b/>
          <w:b/>
          <w:sz w:val="32"/>
          <w:szCs w:val="32"/>
        </w:rPr>
      </w:pPr>
      <w:r>
        <w:rPr>
          <w:b/>
          <w:sz w:val="22"/>
          <w:szCs w:val="22"/>
        </w:rPr>
        <w:t>ПРОТОКОЛ ИССЛЕДОВАНИЯ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 xml:space="preserve">                       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 xml:space="preserve"> </w:t>
      </w:r>
      <w:r>
        <w:rPr>
          <w:b/>
        </w:rPr>
        <w:t xml:space="preserve">Ф.И.О. пациента:  </w:t>
      </w:r>
      <w:r>
        <w:rPr>
          <w:b/>
          <w:lang w:val="en-US"/>
        </w:rPr>
        <w:t>FEDOTIK</w:t>
      </w:r>
      <w:r>
        <w:rPr>
          <w:b/>
        </w:rPr>
        <w:t xml:space="preserve">             Возраст – 41 год                                      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szCs w:val="28"/>
        </w:rPr>
        <w:t>Исследование выполнено на аппарате экспертного класса  L</w:t>
      </w:r>
      <w:r>
        <w:rPr>
          <w:szCs w:val="28"/>
          <w:lang w:val="en-US"/>
        </w:rPr>
        <w:t>OGIQ</w:t>
      </w:r>
      <w:r>
        <w:rPr>
          <w:szCs w:val="28"/>
        </w:rPr>
        <w:t xml:space="preserve"> </w:t>
      </w:r>
      <w:r>
        <w:rPr>
          <w:szCs w:val="28"/>
          <w:lang w:val="en-US"/>
        </w:rPr>
        <w:t>E</w:t>
      </w:r>
      <w:r>
        <w:rPr>
          <w:szCs w:val="28"/>
        </w:rPr>
        <w:t xml:space="preserve">9 </w:t>
      </w:r>
      <w:r>
        <w:rPr>
          <w:sz w:val="22"/>
          <w:szCs w:val="22"/>
        </w:rPr>
        <w:t>фирмы GE (США)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 xml:space="preserve">Визуализация </w:t>
      </w:r>
      <w:r>
        <w:rPr/>
        <w:t xml:space="preserve">  не  затруднена.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>Печень</w:t>
      </w:r>
      <w:r>
        <w:rPr/>
        <w:t xml:space="preserve"> – контур нечеткий,  не ровный, в размерах  несколько </w:t>
      </w:r>
      <w:r>
        <w:rPr>
          <w:b/>
        </w:rPr>
        <w:t xml:space="preserve">   увеличена за счет левой доли .</w:t>
      </w:r>
    </w:p>
    <w:p>
      <w:pPr>
        <w:pStyle w:val="Normal"/>
        <w:ind w:right="-185" w:hanging="0"/>
        <w:rPr/>
      </w:pPr>
      <w:r>
        <w:rPr>
          <w:b/>
        </w:rPr>
        <w:t>Правая доля</w:t>
      </w:r>
      <w:r>
        <w:rPr/>
        <w:t xml:space="preserve"> : ККР  правой  доли -90 мм. Толщина правой доли – 141 мм. КВР -  143  мм (</w:t>
      </w:r>
      <w:r>
        <w:rPr>
          <w:sz w:val="20"/>
          <w:szCs w:val="20"/>
        </w:rPr>
        <w:t>норма не более 160 мм</w:t>
      </w:r>
      <w:r>
        <w:rPr/>
        <w:t xml:space="preserve">). </w:t>
      </w:r>
    </w:p>
    <w:p>
      <w:pPr>
        <w:pStyle w:val="Normal"/>
        <w:ind w:right="-185" w:hanging="0"/>
        <w:rPr/>
      </w:pPr>
      <w:r>
        <w:rPr/>
        <w:t>ККР+ толщина правой доли – 231  (</w:t>
      </w:r>
      <w:r>
        <w:rPr>
          <w:sz w:val="20"/>
          <w:szCs w:val="20"/>
        </w:rPr>
        <w:t>норма не более 260</w:t>
      </w:r>
      <w:r>
        <w:rPr/>
        <w:t xml:space="preserve">) </w:t>
      </w:r>
    </w:p>
    <w:p>
      <w:pPr>
        <w:pStyle w:val="Normal"/>
        <w:ind w:right="-185" w:hanging="0"/>
        <w:rPr/>
      </w:pPr>
      <w:r>
        <w:rPr>
          <w:b/>
        </w:rPr>
        <w:t>Левая доля</w:t>
      </w:r>
      <w:r>
        <w:rPr/>
        <w:t>:  ККР  – 76 мм.    Толщина – 90 мм.  ККР+ толщина -  166 (</w:t>
      </w:r>
      <w:r>
        <w:rPr>
          <w:sz w:val="20"/>
          <w:szCs w:val="20"/>
        </w:rPr>
        <w:t>норма не более 160</w:t>
      </w:r>
      <w:r>
        <w:rPr/>
        <w:t xml:space="preserve">).  </w:t>
      </w:r>
    </w:p>
    <w:p>
      <w:pPr>
        <w:pStyle w:val="Normal"/>
        <w:ind w:right="-185" w:hanging="0"/>
        <w:rPr/>
      </w:pPr>
      <w:r>
        <w:rPr>
          <w:b/>
        </w:rPr>
        <w:t>Хвостатая доля: то</w:t>
      </w:r>
      <w:r>
        <w:rPr/>
        <w:t>лщина – 2.1  мм.  Отношение   толщины  хвостатой   доли к толщине правой доли  0.54 (норма)</w:t>
      </w:r>
    </w:p>
    <w:p>
      <w:pPr>
        <w:pStyle w:val="Normal"/>
        <w:ind w:right="-185" w:hanging="0"/>
        <w:rPr/>
      </w:pPr>
      <w:r>
        <w:rPr/>
        <w:t xml:space="preserve"> </w:t>
      </w:r>
      <w:r>
        <w:rPr>
          <w:b/>
        </w:rPr>
        <w:t>Эхогенность паренхимы</w:t>
      </w:r>
      <w:r>
        <w:rPr/>
        <w:t xml:space="preserve"> – диффузно  повышена. 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>Структура  паренхимы</w:t>
      </w:r>
      <w:r>
        <w:rPr/>
        <w:t xml:space="preserve">  -  не</w:t>
      </w:r>
      <w:r>
        <w:rPr>
          <w:b/>
        </w:rPr>
        <w:t>однородная за счет мелких участков регенерации.</w:t>
      </w:r>
    </w:p>
    <w:p>
      <w:pPr>
        <w:pStyle w:val="Normal"/>
        <w:ind w:right="-185" w:hanging="0"/>
        <w:rPr/>
      </w:pPr>
      <w:r>
        <w:rPr>
          <w:b/>
        </w:rPr>
        <w:t xml:space="preserve">Желчный пузырь -  </w:t>
      </w:r>
      <w:r>
        <w:rPr/>
        <w:t xml:space="preserve">обычного размера.  Стенка  2 мм, не утолщена. 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>Портальная вена</w:t>
      </w:r>
      <w:r>
        <w:rPr/>
        <w:t xml:space="preserve"> не   расширена, диаметром  11 мм. Просвет вены проходим. МЛСК – 15.8 см\сек (не изменен, ). Об. кровоток- 371  мл\мин (несколько  снижен)</w:t>
      </w:r>
      <w:r>
        <w:rPr>
          <w:b/>
        </w:rPr>
        <w:t>норма 428-1213 мл\мин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>Печеночная артерия</w:t>
      </w:r>
      <w:r>
        <w:rPr/>
        <w:t xml:space="preserve"> диаметром  6 мм.  МЛСК   - 41 см\сек (не изменен, ). ИПС – 0.54. Об. кровоток – 171 мл\мин.(несколько снижен)</w:t>
      </w:r>
      <w:r>
        <w:rPr>
          <w:b/>
        </w:rPr>
        <w:t>норма 269</w:t>
      </w:r>
      <w:r>
        <w:rPr>
          <w:b/>
          <w:vertAlign w:val="superscript"/>
        </w:rPr>
        <w:t>+_</w:t>
      </w:r>
      <w:r>
        <w:rPr>
          <w:b/>
          <w:vertAlign w:val="subscript"/>
        </w:rPr>
        <w:t xml:space="preserve"> </w:t>
      </w:r>
      <w:r>
        <w:rPr>
          <w:b/>
        </w:rPr>
        <w:t>115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>Общий печеночный кровоток</w:t>
      </w:r>
      <w:r>
        <w:rPr/>
        <w:t>-  542 мл\мин (несколько  снижен).</w:t>
      </w:r>
      <w:r>
        <w:rPr>
          <w:b/>
        </w:rPr>
        <w:t>норма 800- 1500</w:t>
      </w:r>
    </w:p>
    <w:p>
      <w:pPr>
        <w:pStyle w:val="Normal"/>
        <w:ind w:right="-185" w:hanging="0"/>
        <w:rPr/>
      </w:pPr>
      <w:r>
        <w:rPr>
          <w:b/>
        </w:rPr>
        <w:t>Селезенка – увеличена в размере. Площадь – 52 см</w:t>
      </w:r>
      <w:r>
        <w:rPr>
          <w:b/>
          <w:vertAlign w:val="superscript"/>
        </w:rPr>
        <w:t xml:space="preserve">2.. </w:t>
      </w:r>
      <w:r>
        <w:rPr/>
        <w:t>Селезеночная вена не расширена. Объемный кровоток по ней  увеличен  до  774 мл\мин  .</w:t>
      </w:r>
      <w:r>
        <w:rPr>
          <w:b/>
        </w:rPr>
        <w:t>норма в средней 540 мл\мин</w:t>
      </w:r>
      <w:r>
        <w:rPr/>
        <w:t xml:space="preserve"> </w:t>
      </w:r>
    </w:p>
    <w:p>
      <w:pPr>
        <w:pStyle w:val="Normal"/>
        <w:ind w:right="-185" w:hanging="0"/>
        <w:rPr>
          <w:b/>
          <w:b/>
          <w:color w:val="FF0000"/>
          <w:u w:val="single"/>
        </w:rPr>
      </w:pPr>
      <w:r>
        <w:rPr>
          <w:b/>
          <w:color w:val="FF0000"/>
          <w:u w:val="single"/>
        </w:rPr>
        <w:t>Портальный кровоток большинством исследователей признается интегральным показателем функции печени!</w:t>
      </w:r>
    </w:p>
    <w:p>
      <w:pPr>
        <w:pStyle w:val="Normal"/>
        <w:ind w:right="-185" w:hanging="0"/>
        <w:rPr/>
      </w:pPr>
      <w:r>
        <w:rPr>
          <w:b/>
        </w:rPr>
        <w:t xml:space="preserve"> </w:t>
      </w:r>
      <w:r>
        <w:rPr>
          <w:b/>
        </w:rPr>
        <w:t xml:space="preserve">Лимфатические узлы </w:t>
      </w:r>
      <w:r>
        <w:rPr/>
        <w:t xml:space="preserve">забрюшинного пространства  не увеличены.  </w:t>
      </w:r>
    </w:p>
    <w:p>
      <w:pPr>
        <w:pStyle w:val="Normal"/>
        <w:ind w:right="-185" w:hanging="0"/>
        <w:rPr/>
      </w:pPr>
      <w:r>
        <w:rPr>
          <w:b/>
        </w:rPr>
        <w:t>Свободной жидкости</w:t>
      </w:r>
      <w:r>
        <w:rPr/>
        <w:t xml:space="preserve"> в брюшной полости не выявлено.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>При  эластографии печени : 5-6 сегменты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</w:r>
    </w:p>
    <w:tbl>
      <w:tblPr>
        <w:tblStyle w:val="a3"/>
        <w:tblW w:w="957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111"/>
        <w:gridCol w:w="940"/>
        <w:gridCol w:w="937"/>
        <w:gridCol w:w="938"/>
        <w:gridCol w:w="938"/>
        <w:gridCol w:w="939"/>
        <w:gridCol w:w="938"/>
        <w:gridCol w:w="938"/>
        <w:gridCol w:w="938"/>
        <w:gridCol w:w="955"/>
      </w:tblGrid>
      <w:tr>
        <w:trPr/>
        <w:tc>
          <w:tcPr>
            <w:tcW w:w="11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>
                <w:b/>
                <w:b/>
              </w:rPr>
            </w:pPr>
            <w:r>
              <w:rPr>
                <w:b/>
              </w:rPr>
              <w:t>Индекс фиброза печени при компр.ЭГ</w:t>
            </w:r>
          </w:p>
        </w:tc>
        <w:tc>
          <w:tcPr>
            <w:tcW w:w="94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4.1</w:t>
            </w:r>
          </w:p>
        </w:tc>
        <w:tc>
          <w:tcPr>
            <w:tcW w:w="93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3.6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2.3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3.4</w:t>
            </w:r>
          </w:p>
        </w:tc>
        <w:tc>
          <w:tcPr>
            <w:tcW w:w="9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3.3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2.7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2.9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4.3</w:t>
            </w:r>
          </w:p>
        </w:tc>
        <w:tc>
          <w:tcPr>
            <w:tcW w:w="9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Средний</w:t>
            </w:r>
          </w:p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- 3.3</w:t>
            </w:r>
          </w:p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Усл.ед</w:t>
            </w:r>
          </w:p>
        </w:tc>
      </w:tr>
      <w:tr>
        <w:trPr/>
        <w:tc>
          <w:tcPr>
            <w:tcW w:w="11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>
                <w:b/>
                <w:b/>
                <w:lang w:val="en-US"/>
              </w:rPr>
            </w:pPr>
            <w:r>
              <w:rPr>
                <w:b/>
              </w:rPr>
              <w:t>Жесткость в кПа при</w:t>
            </w:r>
          </w:p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>
                <w:b/>
              </w:rPr>
              <w:t>2D-SWE</w:t>
            </w:r>
          </w:p>
        </w:tc>
        <w:tc>
          <w:tcPr>
            <w:tcW w:w="94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>
                <w:lang w:val="en-US"/>
              </w:rPr>
              <w:t>11.5</w:t>
            </w:r>
          </w:p>
        </w:tc>
        <w:tc>
          <w:tcPr>
            <w:tcW w:w="93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8.8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6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8.5</w:t>
            </w:r>
          </w:p>
        </w:tc>
        <w:tc>
          <w:tcPr>
            <w:tcW w:w="9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8.4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6.5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7.0</w:t>
            </w:r>
          </w:p>
        </w:tc>
        <w:tc>
          <w:tcPr>
            <w:tcW w:w="9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12.</w:t>
            </w:r>
          </w:p>
        </w:tc>
        <w:tc>
          <w:tcPr>
            <w:tcW w:w="95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Средний</w:t>
            </w:r>
          </w:p>
          <w:p>
            <w:pPr>
              <w:pStyle w:val="Normal"/>
              <w:spacing w:lineRule="auto" w:line="240" w:before="0" w:after="0"/>
              <w:ind w:right="-185" w:hanging="0"/>
              <w:rPr/>
            </w:pPr>
            <w:r>
              <w:rPr/>
              <w:t>-8 кПа</w:t>
            </w:r>
          </w:p>
        </w:tc>
      </w:tr>
    </w:tbl>
    <w:p>
      <w:pPr>
        <w:pStyle w:val="Normal"/>
        <w:ind w:right="-185" w:hanging="0"/>
        <w:rPr/>
      </w:pPr>
      <w:r>
        <w:rPr/>
      </w:r>
    </w:p>
    <w:p>
      <w:pPr>
        <w:pStyle w:val="Normal"/>
        <w:ind w:right="-185" w:hanging="0"/>
        <w:rPr>
          <w:b/>
          <w:b/>
        </w:rPr>
      </w:pPr>
      <w:r>
        <w:rPr>
          <w:b/>
          <w:sz w:val="28"/>
          <w:szCs w:val="28"/>
          <w:lang w:val="en-US"/>
        </w:rPr>
        <w:t>E</w:t>
      </w:r>
      <w:r>
        <w:rPr>
          <w:b/>
          <w:sz w:val="28"/>
          <w:szCs w:val="28"/>
        </w:rPr>
        <w:t xml:space="preserve"> </w:t>
      </w:r>
      <w:r>
        <w:rPr>
          <w:b/>
        </w:rPr>
        <w:t>ср</w:t>
      </w:r>
      <w:r>
        <w:rPr/>
        <w:t xml:space="preserve">- 8 </w:t>
      </w:r>
      <w:r>
        <w:rPr>
          <w:b/>
        </w:rPr>
        <w:t xml:space="preserve"> кПа </w:t>
      </w:r>
      <w:r>
        <w:rPr/>
        <w:t>(</w:t>
      </w:r>
      <w:r>
        <w:rPr>
          <w:lang w:val="en-US"/>
        </w:rPr>
        <w:t>F</w:t>
      </w:r>
      <w:r>
        <w:rPr/>
        <w:t>2- F3)</w:t>
      </w:r>
    </w:p>
    <w:p>
      <w:pPr>
        <w:pStyle w:val="Normal"/>
        <w:ind w:right="-185" w:hanging="0"/>
        <w:rPr>
          <w:b/>
          <w:b/>
          <w:sz w:val="28"/>
          <w:szCs w:val="28"/>
        </w:rPr>
      </w:pPr>
      <w:r>
        <w:rPr/>
        <w:t xml:space="preserve">При  эластографии  выявлен тип эластограммы , характерный для  </w:t>
      </w:r>
      <w:r>
        <w:rPr>
          <w:b/>
        </w:rPr>
        <w:t xml:space="preserve">F2- </w:t>
      </w:r>
      <w:r>
        <w:rPr>
          <w:b/>
          <w:lang w:val="en-US"/>
        </w:rPr>
        <w:t>F</w:t>
      </w:r>
      <w:r>
        <w:rPr>
          <w:b/>
        </w:rPr>
        <w:t xml:space="preserve">3 </w:t>
      </w:r>
      <w:r>
        <w:rPr/>
        <w:t>стадии по условной шкале METAVIR.</w:t>
      </w:r>
    </w:p>
    <w:p>
      <w:pPr>
        <w:pStyle w:val="Normal"/>
        <w:ind w:right="-185" w:hanging="0"/>
        <w:rPr/>
      </w:pPr>
      <w:r>
        <w:rPr>
          <w:b/>
          <w:sz w:val="28"/>
          <w:szCs w:val="28"/>
        </w:rPr>
        <w:t>Заключение</w:t>
      </w:r>
      <w:r>
        <w:rPr>
          <w:sz w:val="28"/>
          <w:szCs w:val="28"/>
        </w:rPr>
        <w:t>:</w:t>
      </w:r>
      <w:r>
        <w:rPr/>
        <w:t xml:space="preserve">    По данным ЭГ признаки  стадия F2-</w:t>
      </w:r>
      <w:r>
        <w:rPr>
          <w:lang w:val="en-US"/>
        </w:rPr>
        <w:t>F</w:t>
      </w:r>
      <w:r>
        <w:rPr/>
        <w:t xml:space="preserve">3  по условной шкале METAVIR. </w:t>
      </w:r>
    </w:p>
    <w:p>
      <w:pPr>
        <w:pStyle w:val="Normal"/>
        <w:ind w:right="-185" w:hanging="0"/>
        <w:rPr/>
      </w:pPr>
      <w:r>
        <w:rPr/>
        <w:t>Общий печеночный  кровоток  умерено снижен. Усиление кровотока в системе селезеночной вены. Участки регенерации в печени.</w:t>
      </w:r>
    </w:p>
    <w:p>
      <w:pPr>
        <w:pStyle w:val="Normal"/>
        <w:ind w:right="-185" w:hanging="0"/>
        <w:rPr/>
      </w:pPr>
      <w:r>
        <w:rPr/>
        <w:t>.</w:t>
      </w:r>
    </w:p>
    <w:p>
      <w:pPr>
        <w:pStyle w:val="Normal"/>
        <w:ind w:right="-185" w:hanging="0"/>
        <w:rPr>
          <w:b/>
          <w:b/>
        </w:rPr>
      </w:pPr>
      <w:r>
        <w:rPr>
          <w:b/>
          <w:sz w:val="20"/>
          <w:szCs w:val="20"/>
        </w:rPr>
        <w:t>Примечание: результаты эластометрии должны быть интерпретированы совместно с гастроэнтерологом/гепатологом с учетом клиники и фоновой патологии, влияющей на показатели (сердечная недостаточность, холестаз, портальная гипертензия и тд.)</w:t>
      </w:r>
    </w:p>
    <w:p>
      <w:pPr>
        <w:pStyle w:val="Normal"/>
        <w:ind w:right="-185" w:hanging="0"/>
        <w:rPr>
          <w:b/>
          <w:b/>
        </w:rPr>
      </w:pPr>
      <w:r>
        <w:rPr>
          <w:b/>
        </w:rPr>
        <w:t>11.05.2017 год                                                 Врач                            Балацкая М.В.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 Black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83fe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83fe0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LibreOffice/5.3.2.2$Windows_x86 LibreOffice_project/6cd4f1ef626f15116896b1d8e1398b56da0d0ee1</Application>
  <Pages>2</Pages>
  <Words>364</Words>
  <Characters>2161</Characters>
  <CharactersWithSpaces>2728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2017-05-12T06:01:00Z</dcterms:created>
  <dc:creator>BurunduK</dc:creator>
  <dc:description/>
  <dc:language>ru-RU</dc:language>
  <cp:lastModifiedBy/>
  <dcterms:modified xsi:type="dcterms:W3CDTF">2017-05-13T14:16:58Z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